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137"/>
        <w:gridCol w:w="1530"/>
      </w:tblGrid>
      <w:tr w:rsidR="00F974BB" w:rsidTr="00695A3D">
        <w:trPr>
          <w:cantSplit/>
        </w:trPr>
        <w:tc>
          <w:tcPr>
            <w:tcW w:w="9288" w:type="dxa"/>
            <w:gridSpan w:val="6"/>
          </w:tcPr>
          <w:p w:rsidR="00F974BB" w:rsidRDefault="00F974BB" w:rsidP="00695A3D">
            <w:pPr>
              <w:rPr>
                <w:lang w:val="en-GB"/>
              </w:rPr>
            </w:pPr>
          </w:p>
          <w:p w:rsidR="00F974BB" w:rsidRDefault="00F974BB" w:rsidP="00695A3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F974BB" w:rsidRDefault="00F974BB" w:rsidP="00695A3D">
            <w:pPr>
              <w:rPr>
                <w:b/>
                <w:sz w:val="28"/>
                <w:lang w:val="en-GB"/>
              </w:rPr>
            </w:pPr>
          </w:p>
          <w:p w:rsidR="00F974BB" w:rsidRDefault="00F974BB" w:rsidP="00695A3D">
            <w:pPr>
              <w:tabs>
                <w:tab w:val="center" w:pos="4560"/>
              </w:tabs>
              <w:rPr>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F974BB" w:rsidRDefault="00F974BB" w:rsidP="00695A3D">
            <w:pPr>
              <w:jc w:val="center"/>
            </w:pPr>
            <w:r w:rsidRPr="009404D1">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11071075" r:id="rId8"/>
              </w:object>
            </w:r>
          </w:p>
          <w:p w:rsidR="00F974BB" w:rsidRDefault="00F974BB" w:rsidP="00695A3D">
            <w:pPr>
              <w:jc w:val="center"/>
              <w:rPr>
                <w:lang w:val="en-GB"/>
              </w:rPr>
            </w:pPr>
          </w:p>
          <w:p w:rsidR="00F974BB" w:rsidRDefault="00F974BB" w:rsidP="00695A3D">
            <w:pPr>
              <w:pStyle w:val="Heading1"/>
              <w:rPr>
                <w:rFonts w:ascii="Arial" w:hAnsi="Arial"/>
                <w:sz w:val="28"/>
                <w:u w:val="none"/>
              </w:rPr>
            </w:pPr>
            <w:r>
              <w:rPr>
                <w:rFonts w:ascii="Arial" w:hAnsi="Arial"/>
                <w:sz w:val="28"/>
                <w:u w:val="none"/>
              </w:rPr>
              <w:t>COURSE  OUTLINE</w:t>
            </w:r>
          </w:p>
          <w:p w:rsidR="00F974BB" w:rsidRDefault="00F974BB" w:rsidP="00695A3D"/>
        </w:tc>
      </w:tr>
      <w:tr w:rsidR="00F974BB" w:rsidTr="00695A3D">
        <w:trPr>
          <w:cantSplit/>
        </w:trPr>
        <w:tc>
          <w:tcPr>
            <w:tcW w:w="2518" w:type="dxa"/>
          </w:tcPr>
          <w:p w:rsidR="00F974BB" w:rsidRDefault="00F974BB" w:rsidP="00695A3D">
            <w:pPr>
              <w:rPr>
                <w:b/>
                <w:lang w:val="en-GB"/>
              </w:rPr>
            </w:pPr>
            <w:r>
              <w:rPr>
                <w:b/>
                <w:lang w:val="en-GB"/>
              </w:rPr>
              <w:t>COURSE TITLE:</w:t>
            </w:r>
          </w:p>
          <w:p w:rsidR="00F974BB" w:rsidRDefault="00F974BB" w:rsidP="00695A3D">
            <w:pPr>
              <w:rPr>
                <w:b/>
              </w:rPr>
            </w:pPr>
          </w:p>
        </w:tc>
        <w:tc>
          <w:tcPr>
            <w:tcW w:w="6770" w:type="dxa"/>
            <w:gridSpan w:val="5"/>
          </w:tcPr>
          <w:p w:rsidR="00F974BB" w:rsidRDefault="00F974BB" w:rsidP="00695A3D">
            <w:r>
              <w:t>Professional Growth III:  Transpersonal Teaching and Learning.</w:t>
            </w:r>
          </w:p>
          <w:p w:rsidR="00F974BB" w:rsidRDefault="00F974BB" w:rsidP="00695A3D"/>
        </w:tc>
      </w:tr>
      <w:tr w:rsidR="00F974BB" w:rsidTr="00695A3D">
        <w:tc>
          <w:tcPr>
            <w:tcW w:w="2518" w:type="dxa"/>
          </w:tcPr>
          <w:p w:rsidR="00F974BB" w:rsidRDefault="00F974BB" w:rsidP="00695A3D">
            <w:pPr>
              <w:rPr>
                <w:b/>
                <w:lang w:val="en-GB"/>
              </w:rPr>
            </w:pPr>
            <w:r>
              <w:rPr>
                <w:b/>
                <w:lang w:val="en-GB"/>
              </w:rPr>
              <w:t>CODE NO. :</w:t>
            </w:r>
          </w:p>
          <w:p w:rsidR="00F974BB" w:rsidRDefault="00F974BB" w:rsidP="00695A3D">
            <w:pPr>
              <w:rPr>
                <w:b/>
              </w:rPr>
            </w:pPr>
          </w:p>
        </w:tc>
        <w:tc>
          <w:tcPr>
            <w:tcW w:w="3402" w:type="dxa"/>
            <w:gridSpan w:val="2"/>
          </w:tcPr>
          <w:p w:rsidR="00F974BB" w:rsidRDefault="00F974BB" w:rsidP="00695A3D">
            <w:r>
              <w:t>NURS 3056</w:t>
            </w:r>
          </w:p>
        </w:tc>
        <w:tc>
          <w:tcPr>
            <w:tcW w:w="1701" w:type="dxa"/>
          </w:tcPr>
          <w:p w:rsidR="00F974BB" w:rsidRDefault="00F974BB" w:rsidP="00695A3D">
            <w:pPr>
              <w:rPr>
                <w:b/>
              </w:rPr>
            </w:pPr>
            <w:r>
              <w:rPr>
                <w:b/>
                <w:lang w:val="en-GB"/>
              </w:rPr>
              <w:t>SEMESTER:</w:t>
            </w:r>
          </w:p>
        </w:tc>
        <w:tc>
          <w:tcPr>
            <w:tcW w:w="1667" w:type="dxa"/>
            <w:gridSpan w:val="2"/>
          </w:tcPr>
          <w:p w:rsidR="00F974BB" w:rsidRDefault="00F974BB" w:rsidP="00695A3D">
            <w:r>
              <w:t>5</w:t>
            </w:r>
          </w:p>
        </w:tc>
      </w:tr>
      <w:tr w:rsidR="00F974BB" w:rsidTr="00695A3D">
        <w:trPr>
          <w:cantSplit/>
        </w:trPr>
        <w:tc>
          <w:tcPr>
            <w:tcW w:w="2518" w:type="dxa"/>
          </w:tcPr>
          <w:p w:rsidR="00F974BB" w:rsidRDefault="00F974BB" w:rsidP="00695A3D">
            <w:pPr>
              <w:rPr>
                <w:b/>
                <w:lang w:val="en-GB"/>
              </w:rPr>
            </w:pPr>
            <w:r>
              <w:rPr>
                <w:b/>
                <w:lang w:val="en-GB"/>
              </w:rPr>
              <w:t>PROGRAM:</w:t>
            </w:r>
          </w:p>
          <w:p w:rsidR="00F974BB" w:rsidRDefault="00F974BB" w:rsidP="00695A3D"/>
        </w:tc>
        <w:tc>
          <w:tcPr>
            <w:tcW w:w="6770" w:type="dxa"/>
            <w:gridSpan w:val="5"/>
          </w:tcPr>
          <w:p w:rsidR="00F974BB" w:rsidRDefault="00F974BB" w:rsidP="00695A3D">
            <w:r>
              <w:t>Collaborative BScN</w:t>
            </w:r>
          </w:p>
        </w:tc>
      </w:tr>
      <w:tr w:rsidR="00F974BB" w:rsidTr="00695A3D">
        <w:trPr>
          <w:cantSplit/>
        </w:trPr>
        <w:tc>
          <w:tcPr>
            <w:tcW w:w="2518" w:type="dxa"/>
          </w:tcPr>
          <w:p w:rsidR="00F974BB" w:rsidRDefault="00F974BB" w:rsidP="00695A3D">
            <w:pPr>
              <w:rPr>
                <w:b/>
                <w:lang w:val="en-GB"/>
              </w:rPr>
            </w:pPr>
            <w:r>
              <w:rPr>
                <w:b/>
                <w:lang w:val="en-GB"/>
              </w:rPr>
              <w:t>AUTHOR:</w:t>
            </w:r>
          </w:p>
          <w:p w:rsidR="00F974BB" w:rsidRDefault="00F974BB" w:rsidP="00695A3D"/>
        </w:tc>
        <w:tc>
          <w:tcPr>
            <w:tcW w:w="6770" w:type="dxa"/>
            <w:gridSpan w:val="5"/>
          </w:tcPr>
          <w:p w:rsidR="00F974BB" w:rsidRDefault="00F974BB" w:rsidP="00695A3D">
            <w:smartTag w:uri="urn:schemas:contacts" w:element="GivenName">
              <w:r>
                <w:t>Johanne</w:t>
              </w:r>
            </w:smartTag>
            <w:r>
              <w:t xml:space="preserve"> </w:t>
            </w:r>
            <w:smartTag w:uri="urn:schemas:contacts" w:element="Sn">
              <w:r>
                <w:t>Carbonneau</w:t>
              </w:r>
            </w:smartTag>
            <w:r>
              <w:t xml:space="preserve">, </w:t>
            </w:r>
            <w:smartTag w:uri="urn:schemas:contacts" w:element="GivenName">
              <w:r>
                <w:t>Emily</w:t>
              </w:r>
            </w:smartTag>
            <w:r>
              <w:t xml:space="preserve"> </w:t>
            </w:r>
            <w:smartTag w:uri="urn:schemas:contacts" w:element="Sn">
              <w:r>
                <w:t>Donato</w:t>
              </w:r>
            </w:smartTag>
            <w:r>
              <w:t xml:space="preserve">, </w:t>
            </w:r>
            <w:smartTag w:uri="urn:schemas:contacts" w:element="GivenName">
              <w:r>
                <w:t>Wendy</w:t>
              </w:r>
            </w:smartTag>
            <w:r>
              <w:t xml:space="preserve"> </w:t>
            </w:r>
            <w:smartTag w:uri="urn:schemas:contacts" w:element="Sn">
              <w:r>
                <w:t>Fostey</w:t>
              </w:r>
            </w:smartTag>
            <w:r>
              <w:t>,</w:t>
            </w:r>
            <w:r w:rsidR="00F97497">
              <w:t xml:space="preserve"> </w:t>
            </w:r>
            <w:smartTag w:uri="urn:schemas:contacts" w:element="GivenName">
              <w:r w:rsidR="00F97497">
                <w:t>Sharolynn</w:t>
              </w:r>
            </w:smartTag>
            <w:r w:rsidR="00F97497">
              <w:t xml:space="preserve"> </w:t>
            </w:r>
            <w:smartTag w:uri="urn:schemas:contacts" w:element="Sn">
              <w:r w:rsidR="00F97497">
                <w:t>Mossey</w:t>
              </w:r>
            </w:smartTag>
            <w:r w:rsidR="00F97497">
              <w:t xml:space="preserve">, </w:t>
            </w:r>
            <w:smartTag w:uri="urn:schemas-microsoft-com:office:smarttags" w:element="PersonName">
              <w:smartTag w:uri="urn:schemas:contacts" w:element="GivenName">
                <w:r>
                  <w:t>Mary</w:t>
                </w:r>
              </w:smartTag>
              <w:r>
                <w:t xml:space="preserve"> </w:t>
              </w:r>
              <w:smartTag w:uri="urn:schemas:contacts" w:element="middlename">
                <w:r>
                  <w:t>Lou</w:t>
                </w:r>
              </w:smartTag>
              <w:r>
                <w:t xml:space="preserve"> </w:t>
              </w:r>
              <w:smartTag w:uri="urn:schemas:contacts" w:element="Sn">
                <w:r>
                  <w:t>Trowell</w:t>
                </w:r>
              </w:smartTag>
            </w:smartTag>
          </w:p>
          <w:p w:rsidR="00F974BB" w:rsidRDefault="00F974BB" w:rsidP="00695A3D"/>
        </w:tc>
      </w:tr>
      <w:tr w:rsidR="00F974BB" w:rsidTr="00695A3D">
        <w:tc>
          <w:tcPr>
            <w:tcW w:w="2518" w:type="dxa"/>
          </w:tcPr>
          <w:p w:rsidR="00F974BB" w:rsidRDefault="00F974BB" w:rsidP="00695A3D">
            <w:pPr>
              <w:rPr>
                <w:b/>
                <w:lang w:val="en-GB"/>
              </w:rPr>
            </w:pPr>
            <w:r>
              <w:rPr>
                <w:b/>
                <w:lang w:val="en-GB"/>
              </w:rPr>
              <w:t>DATE:</w:t>
            </w:r>
          </w:p>
          <w:p w:rsidR="00F974BB" w:rsidRDefault="00F974BB" w:rsidP="00695A3D"/>
        </w:tc>
        <w:tc>
          <w:tcPr>
            <w:tcW w:w="1460" w:type="dxa"/>
          </w:tcPr>
          <w:p w:rsidR="00F974BB" w:rsidRDefault="00F974BB" w:rsidP="00F97497">
            <w:r>
              <w:t>Sept, 200</w:t>
            </w:r>
            <w:r w:rsidR="00F97497">
              <w:t>9</w:t>
            </w:r>
          </w:p>
        </w:tc>
        <w:tc>
          <w:tcPr>
            <w:tcW w:w="3780" w:type="dxa"/>
            <w:gridSpan w:val="3"/>
          </w:tcPr>
          <w:p w:rsidR="00F974BB" w:rsidRDefault="00F974BB" w:rsidP="00695A3D">
            <w:r>
              <w:rPr>
                <w:b/>
                <w:lang w:val="en-GB"/>
              </w:rPr>
              <w:t>PREVIOUS OUTLINE DATED:</w:t>
            </w:r>
          </w:p>
        </w:tc>
        <w:tc>
          <w:tcPr>
            <w:tcW w:w="1530" w:type="dxa"/>
          </w:tcPr>
          <w:p w:rsidR="00F974BB" w:rsidRDefault="00F974BB" w:rsidP="00F97497">
            <w:r>
              <w:t>May, 200</w:t>
            </w:r>
            <w:r w:rsidR="00F97497">
              <w:t>8</w:t>
            </w:r>
          </w:p>
        </w:tc>
      </w:tr>
      <w:tr w:rsidR="00F974BB" w:rsidTr="00695A3D">
        <w:trPr>
          <w:cantSplit/>
        </w:trPr>
        <w:tc>
          <w:tcPr>
            <w:tcW w:w="2518" w:type="dxa"/>
          </w:tcPr>
          <w:p w:rsidR="00F974BB" w:rsidRDefault="00F974BB" w:rsidP="00695A3D">
            <w:r>
              <w:rPr>
                <w:b/>
                <w:lang w:val="en-GB"/>
              </w:rPr>
              <w:t>APPROVED:</w:t>
            </w:r>
          </w:p>
        </w:tc>
        <w:tc>
          <w:tcPr>
            <w:tcW w:w="5240" w:type="dxa"/>
            <w:gridSpan w:val="4"/>
          </w:tcPr>
          <w:p w:rsidR="00F974BB" w:rsidRDefault="007F09E5" w:rsidP="00695A3D">
            <w:pPr>
              <w:jc w:val="center"/>
            </w:pPr>
            <w:r>
              <w:t>“Lucy Pilon”</w:t>
            </w:r>
          </w:p>
        </w:tc>
        <w:tc>
          <w:tcPr>
            <w:tcW w:w="1530" w:type="dxa"/>
          </w:tcPr>
          <w:p w:rsidR="00F974BB" w:rsidRDefault="00F974BB" w:rsidP="00695A3D"/>
        </w:tc>
      </w:tr>
      <w:tr w:rsidR="00F974BB" w:rsidTr="00695A3D">
        <w:trPr>
          <w:cantSplit/>
        </w:trPr>
        <w:tc>
          <w:tcPr>
            <w:tcW w:w="2518" w:type="dxa"/>
          </w:tcPr>
          <w:p w:rsidR="00F974BB" w:rsidRDefault="00F974BB" w:rsidP="00695A3D"/>
        </w:tc>
        <w:tc>
          <w:tcPr>
            <w:tcW w:w="5240" w:type="dxa"/>
            <w:gridSpan w:val="4"/>
          </w:tcPr>
          <w:p w:rsidR="00F974BB" w:rsidRDefault="00F974BB" w:rsidP="00695A3D">
            <w:pPr>
              <w:pStyle w:val="Heading2"/>
              <w:rPr>
                <w:rFonts w:ascii="Arial" w:hAnsi="Arial"/>
                <w:lang w:val="en-US"/>
              </w:rPr>
            </w:pPr>
            <w:r>
              <w:rPr>
                <w:rFonts w:ascii="Arial" w:hAnsi="Arial"/>
                <w:lang w:val="en-US"/>
              </w:rPr>
              <w:t>__________________________________</w:t>
            </w:r>
          </w:p>
          <w:p w:rsidR="00F974BB" w:rsidRDefault="00695A3D" w:rsidP="00695A3D">
            <w:pPr>
              <w:pStyle w:val="Heading2"/>
              <w:rPr>
                <w:rFonts w:ascii="Arial" w:hAnsi="Arial"/>
                <w:lang w:val="en-US"/>
              </w:rPr>
            </w:pPr>
            <w:r>
              <w:rPr>
                <w:rFonts w:ascii="Arial" w:hAnsi="Arial"/>
                <w:lang w:val="en-US"/>
              </w:rPr>
              <w:t>CHAIR</w:t>
            </w:r>
          </w:p>
        </w:tc>
        <w:tc>
          <w:tcPr>
            <w:tcW w:w="1530" w:type="dxa"/>
          </w:tcPr>
          <w:p w:rsidR="00F974BB" w:rsidRDefault="00F974BB" w:rsidP="00695A3D">
            <w:pPr>
              <w:rPr>
                <w:b/>
                <w:lang w:val="en-GB"/>
              </w:rPr>
            </w:pPr>
            <w:r>
              <w:rPr>
                <w:b/>
                <w:lang w:val="en-GB"/>
              </w:rPr>
              <w:t>___</w:t>
            </w:r>
            <w:r w:rsidR="00151A3D">
              <w:rPr>
                <w:b/>
                <w:lang w:val="en-GB"/>
              </w:rPr>
              <w:t>__</w:t>
            </w:r>
            <w:r>
              <w:rPr>
                <w:b/>
                <w:lang w:val="en-GB"/>
              </w:rPr>
              <w:t>____</w:t>
            </w:r>
          </w:p>
          <w:p w:rsidR="00F974BB" w:rsidRDefault="00F974BB" w:rsidP="00695A3D">
            <w:pPr>
              <w:jc w:val="center"/>
            </w:pPr>
            <w:r>
              <w:rPr>
                <w:b/>
                <w:lang w:val="en-GB"/>
              </w:rPr>
              <w:t>DATE</w:t>
            </w:r>
          </w:p>
        </w:tc>
      </w:tr>
      <w:tr w:rsidR="00F974BB" w:rsidTr="00695A3D">
        <w:trPr>
          <w:cantSplit/>
        </w:trPr>
        <w:tc>
          <w:tcPr>
            <w:tcW w:w="2518" w:type="dxa"/>
          </w:tcPr>
          <w:p w:rsidR="00F974BB" w:rsidRDefault="00F974BB" w:rsidP="00695A3D">
            <w:pPr>
              <w:rPr>
                <w:b/>
                <w:lang w:val="en-GB"/>
              </w:rPr>
            </w:pPr>
            <w:r>
              <w:rPr>
                <w:b/>
                <w:lang w:val="en-GB"/>
              </w:rPr>
              <w:t>TOTAL CREDITS:</w:t>
            </w:r>
          </w:p>
          <w:p w:rsidR="00F974BB" w:rsidRDefault="00F974BB" w:rsidP="00695A3D"/>
        </w:tc>
        <w:tc>
          <w:tcPr>
            <w:tcW w:w="6770" w:type="dxa"/>
            <w:gridSpan w:val="5"/>
          </w:tcPr>
          <w:p w:rsidR="00F974BB" w:rsidRDefault="00F974BB" w:rsidP="00695A3D">
            <w:r>
              <w:t>3</w:t>
            </w:r>
          </w:p>
        </w:tc>
      </w:tr>
      <w:tr w:rsidR="00F974BB" w:rsidTr="00695A3D">
        <w:trPr>
          <w:cantSplit/>
        </w:trPr>
        <w:tc>
          <w:tcPr>
            <w:tcW w:w="2518" w:type="dxa"/>
          </w:tcPr>
          <w:p w:rsidR="00F974BB" w:rsidRDefault="00F974BB" w:rsidP="00695A3D">
            <w:pPr>
              <w:rPr>
                <w:b/>
                <w:lang w:val="en-GB"/>
              </w:rPr>
            </w:pPr>
            <w:r>
              <w:rPr>
                <w:b/>
                <w:lang w:val="en-GB"/>
              </w:rPr>
              <w:t>PREREQUISITE(S):</w:t>
            </w:r>
          </w:p>
          <w:p w:rsidR="00F974BB" w:rsidRDefault="00F974BB" w:rsidP="00695A3D"/>
        </w:tc>
        <w:tc>
          <w:tcPr>
            <w:tcW w:w="6770" w:type="dxa"/>
            <w:gridSpan w:val="5"/>
          </w:tcPr>
          <w:p w:rsidR="00F974BB" w:rsidRDefault="00F974BB" w:rsidP="00695A3D">
            <w:r>
              <w:t>NURS 2057</w:t>
            </w:r>
          </w:p>
          <w:p w:rsidR="00F974BB" w:rsidRDefault="00F974BB" w:rsidP="0044581B">
            <w:r>
              <w:t xml:space="preserve">Recommended Co-requisite:  Clinical Practice Course </w:t>
            </w:r>
          </w:p>
          <w:p w:rsidR="00695A3D" w:rsidRDefault="00695A3D" w:rsidP="0044581B"/>
        </w:tc>
      </w:tr>
      <w:tr w:rsidR="00F974BB" w:rsidTr="00695A3D">
        <w:trPr>
          <w:cantSplit/>
        </w:trPr>
        <w:tc>
          <w:tcPr>
            <w:tcW w:w="2518" w:type="dxa"/>
          </w:tcPr>
          <w:p w:rsidR="00F974BB" w:rsidRDefault="00F974BB" w:rsidP="00695A3D">
            <w:pPr>
              <w:rPr>
                <w:b/>
                <w:lang w:val="en-GB"/>
              </w:rPr>
            </w:pPr>
            <w:r>
              <w:rPr>
                <w:b/>
                <w:lang w:val="en-GB"/>
              </w:rPr>
              <w:t>HOURS/WEEK:</w:t>
            </w:r>
          </w:p>
          <w:p w:rsidR="00F974BB" w:rsidRDefault="00F974BB" w:rsidP="00695A3D"/>
        </w:tc>
        <w:tc>
          <w:tcPr>
            <w:tcW w:w="6770" w:type="dxa"/>
            <w:gridSpan w:val="5"/>
          </w:tcPr>
          <w:p w:rsidR="00F974BB" w:rsidRDefault="00F974BB" w:rsidP="00695A3D">
            <w:r>
              <w:t>3</w:t>
            </w:r>
          </w:p>
        </w:tc>
      </w:tr>
      <w:tr w:rsidR="00F974BB" w:rsidTr="00695A3D">
        <w:trPr>
          <w:cantSplit/>
        </w:trPr>
        <w:tc>
          <w:tcPr>
            <w:tcW w:w="9288" w:type="dxa"/>
            <w:gridSpan w:val="6"/>
          </w:tcPr>
          <w:p w:rsidR="00F974BB" w:rsidRDefault="00F974BB" w:rsidP="00695A3D">
            <w:pPr>
              <w:pStyle w:val="Heading2"/>
              <w:tabs>
                <w:tab w:val="center" w:pos="4560"/>
              </w:tabs>
              <w:rPr>
                <w:rFonts w:ascii="Arial" w:hAnsi="Arial"/>
              </w:rPr>
            </w:pPr>
          </w:p>
          <w:p w:rsidR="00F974BB" w:rsidRDefault="00F974BB" w:rsidP="00695A3D">
            <w:pPr>
              <w:pStyle w:val="Heading2"/>
              <w:tabs>
                <w:tab w:val="center" w:pos="4560"/>
              </w:tabs>
              <w:rPr>
                <w:rFonts w:ascii="Arial" w:hAnsi="Arial"/>
              </w:rPr>
            </w:pPr>
            <w:r>
              <w:rPr>
                <w:rFonts w:ascii="Arial" w:hAnsi="Arial"/>
              </w:rPr>
              <w:t>Copyright ©200</w:t>
            </w:r>
            <w:r w:rsidR="00190EBA">
              <w:rPr>
                <w:rFonts w:ascii="Arial" w:hAnsi="Arial"/>
              </w:rPr>
              <w:t>9</w:t>
            </w:r>
            <w:r>
              <w:rPr>
                <w:rFonts w:ascii="Arial" w:hAnsi="Arial"/>
              </w:rPr>
              <w:t xml:space="preserve">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F974BB" w:rsidRDefault="00F974BB" w:rsidP="00695A3D">
            <w:pPr>
              <w:tabs>
                <w:tab w:val="center" w:pos="4560"/>
              </w:tabs>
              <w:jc w:val="center"/>
              <w:rPr>
                <w:i/>
                <w:lang w:val="en-GB"/>
              </w:rPr>
            </w:pPr>
            <w:r>
              <w:rPr>
                <w:i/>
                <w:lang w:val="en-GB"/>
              </w:rPr>
              <w:t>Reproduction of this document by any means, in whole or in part, without prior</w:t>
            </w:r>
          </w:p>
          <w:p w:rsidR="00F974BB" w:rsidRDefault="00F974BB" w:rsidP="00695A3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4BB" w:rsidTr="00695A3D">
        <w:trPr>
          <w:cantSplit/>
        </w:trPr>
        <w:tc>
          <w:tcPr>
            <w:tcW w:w="9288" w:type="dxa"/>
            <w:gridSpan w:val="6"/>
          </w:tcPr>
          <w:p w:rsidR="00F974BB" w:rsidRDefault="00F974BB" w:rsidP="00695A3D">
            <w:pPr>
              <w:pStyle w:val="Heading2"/>
              <w:tabs>
                <w:tab w:val="center" w:pos="4560"/>
              </w:tabs>
              <w:rPr>
                <w:rFonts w:ascii="Arial" w:hAnsi="Arial"/>
                <w:b w:val="0"/>
              </w:rPr>
            </w:pPr>
            <w:r>
              <w:rPr>
                <w:rFonts w:ascii="Arial" w:hAnsi="Arial"/>
                <w:b w:val="0"/>
                <w:i/>
              </w:rPr>
              <w:t xml:space="preserve">For additional information, please contact the Chair, </w:t>
            </w:r>
            <w:r w:rsidR="00695A3D">
              <w:rPr>
                <w:rFonts w:ascii="Arial" w:hAnsi="Arial"/>
                <w:b w:val="0"/>
                <w:i/>
              </w:rPr>
              <w:t>Health Programs</w:t>
            </w:r>
          </w:p>
        </w:tc>
      </w:tr>
      <w:tr w:rsidR="00F974BB" w:rsidTr="00695A3D">
        <w:trPr>
          <w:cantSplit/>
        </w:trPr>
        <w:tc>
          <w:tcPr>
            <w:tcW w:w="9288" w:type="dxa"/>
            <w:gridSpan w:val="6"/>
          </w:tcPr>
          <w:p w:rsidR="00F974BB" w:rsidRDefault="00F974BB" w:rsidP="00695A3D">
            <w:pPr>
              <w:tabs>
                <w:tab w:val="center" w:pos="4560"/>
              </w:tabs>
              <w:jc w:val="center"/>
              <w:rPr>
                <w:i/>
                <w:lang w:val="en-GB"/>
              </w:rPr>
            </w:pPr>
            <w:r>
              <w:rPr>
                <w:i/>
                <w:lang w:val="en-GB"/>
              </w:rPr>
              <w:t xml:space="preserve">School of Health and </w:t>
            </w:r>
            <w:r w:rsidR="00695A3D">
              <w:rPr>
                <w:i/>
                <w:lang w:val="en-GB"/>
              </w:rPr>
              <w:t>Community</w:t>
            </w:r>
            <w:r>
              <w:rPr>
                <w:i/>
                <w:lang w:val="en-GB"/>
              </w:rPr>
              <w:t xml:space="preserve"> Services</w:t>
            </w:r>
          </w:p>
        </w:tc>
      </w:tr>
      <w:tr w:rsidR="00F974BB" w:rsidTr="00695A3D">
        <w:trPr>
          <w:cantSplit/>
        </w:trPr>
        <w:tc>
          <w:tcPr>
            <w:tcW w:w="9288" w:type="dxa"/>
            <w:gridSpan w:val="6"/>
          </w:tcPr>
          <w:p w:rsidR="00F974BB" w:rsidRDefault="00F974BB" w:rsidP="00695A3D">
            <w:pPr>
              <w:tabs>
                <w:tab w:val="center" w:pos="4560"/>
              </w:tabs>
              <w:jc w:val="center"/>
              <w:rPr>
                <w:i/>
                <w:lang w:val="en-GB"/>
              </w:rPr>
            </w:pPr>
            <w:smartTag w:uri="urn:schemas-microsoft-com:office:smarttags" w:element="phone">
              <w:smartTagPr>
                <w:attr w:name="phonenumber" w:val="$6759"/>
                <w:attr w:uri="urn:schemas-microsoft-com:office:office" w:name="ls" w:val="trans"/>
              </w:smartTagPr>
              <w:r>
                <w:rPr>
                  <w:i/>
                  <w:lang w:val="en-GB"/>
                </w:rPr>
                <w:t xml:space="preserve">(705) </w:t>
              </w:r>
              <w:smartTag w:uri="urn:schemas-microsoft-com:office:smarttags" w:element="phone">
                <w:smartTagPr>
                  <w:attr w:name="phonenumber" w:val="$6759 챦"/>
                  <w:attr w:uri="urn:schemas-microsoft-com:office:office" w:name="ls" w:val="trans"/>
                </w:smartTagPr>
                <w:r>
                  <w:rPr>
                    <w:i/>
                    <w:lang w:val="en-GB"/>
                  </w:rPr>
                  <w:t>759-2554</w:t>
                </w:r>
              </w:smartTag>
            </w:smartTag>
            <w:r>
              <w:rPr>
                <w:i/>
                <w:lang w:val="en-GB"/>
              </w:rPr>
              <w:t xml:space="preserve">, Ext. </w:t>
            </w:r>
            <w:r w:rsidR="00695A3D">
              <w:rPr>
                <w:i/>
                <w:lang w:val="en-GB"/>
              </w:rPr>
              <w:t>2689</w:t>
            </w:r>
          </w:p>
          <w:p w:rsidR="00695A3D" w:rsidRDefault="00695A3D" w:rsidP="00695A3D">
            <w:pPr>
              <w:tabs>
                <w:tab w:val="center" w:pos="4560"/>
              </w:tabs>
              <w:jc w:val="center"/>
            </w:pPr>
          </w:p>
        </w:tc>
      </w:tr>
    </w:tbl>
    <w:p w:rsidR="00F974BB" w:rsidRDefault="00F974BB" w:rsidP="00F974BB">
      <w:pPr>
        <w:tabs>
          <w:tab w:val="center" w:pos="4560"/>
        </w:tabs>
        <w:rPr>
          <w:i/>
          <w:lang w:val="en-GB"/>
        </w:rPr>
      </w:pPr>
      <w:r>
        <w:rPr>
          <w:i/>
          <w:lang w:val="en-GB"/>
        </w:rPr>
        <w:br w:type="page"/>
      </w:r>
    </w:p>
    <w:p w:rsidR="00F974BB" w:rsidRDefault="00F974BB" w:rsidP="00F974BB">
      <w:pPr>
        <w:tabs>
          <w:tab w:val="center" w:pos="4560"/>
        </w:tabs>
        <w:rPr>
          <w:i/>
          <w:lang w:val="en-GB"/>
        </w:rPr>
      </w:pPr>
    </w:p>
    <w:tbl>
      <w:tblPr>
        <w:tblW w:w="0" w:type="auto"/>
        <w:tblLayout w:type="fixed"/>
        <w:tblLook w:val="0000"/>
      </w:tblPr>
      <w:tblGrid>
        <w:gridCol w:w="675"/>
        <w:gridCol w:w="8181"/>
      </w:tblGrid>
      <w:tr w:rsidR="00F974BB" w:rsidTr="00695A3D">
        <w:tc>
          <w:tcPr>
            <w:tcW w:w="675" w:type="dxa"/>
          </w:tcPr>
          <w:p w:rsidR="00F974BB" w:rsidRDefault="00F974BB" w:rsidP="00695A3D">
            <w:pPr>
              <w:rPr>
                <w:b/>
              </w:rPr>
            </w:pPr>
            <w:r>
              <w:rPr>
                <w:b/>
              </w:rPr>
              <w:t>I.</w:t>
            </w:r>
          </w:p>
        </w:tc>
        <w:tc>
          <w:tcPr>
            <w:tcW w:w="8181" w:type="dxa"/>
          </w:tcPr>
          <w:p w:rsidR="00F974BB" w:rsidRDefault="00F974BB" w:rsidP="00695A3D">
            <w:pPr>
              <w:rPr>
                <w:b/>
              </w:rPr>
            </w:pPr>
            <w:r>
              <w:rPr>
                <w:b/>
              </w:rPr>
              <w:t>COURSE DESCRIPTION:</w:t>
            </w:r>
          </w:p>
          <w:p w:rsidR="00F974BB" w:rsidRDefault="00F974BB" w:rsidP="00695A3D">
            <w:pPr>
              <w:rPr>
                <w:iCs/>
                <w:snapToGrid w:val="0"/>
              </w:rPr>
            </w:pPr>
          </w:p>
          <w:p w:rsidR="00102170" w:rsidRDefault="00F974BB" w:rsidP="006D4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napToGrid w:val="0"/>
              </w:rPr>
            </w:pPr>
            <w:r>
              <w:rPr>
                <w:iCs/>
                <w:snapToGrid w:val="0"/>
              </w:rPr>
              <w:t>This course focuses on the concepts of transpersonal teaching and learning and the phases in the teaching learning process as they relate to nursing care. It encourages participants to review the major teaching-learning and motivational theories and examine the assumptions underlying a variety of learning perspectives and methodologies. It considers the uniqueness of teaching and learning within a health/healing context, and through active reflection encourages participants to explore personal beliefs and values in relation to theoretical perspectives and personal experiences. Through praxis and building on concepts in Professional Growth I and II, participants will have opportunities to experience a variety of teaching/learning encounters with a focus on prevention and health promotion, as both teacher and learner.</w:t>
            </w:r>
          </w:p>
          <w:p w:rsidR="006D4162" w:rsidRDefault="006D4162" w:rsidP="006D4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lang w:val="en-GB"/>
              </w:rPr>
            </w:pPr>
            <w:r>
              <w:rPr>
                <w:rFonts w:cs="Arial"/>
                <w:bCs/>
                <w:lang w:val="en-GB"/>
              </w:rPr>
              <w:t>Prerequisite: NURS 2057</w:t>
            </w:r>
          </w:p>
          <w:p w:rsidR="006D4162" w:rsidRDefault="006D4162" w:rsidP="00445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lang w:val="en-GB"/>
              </w:rPr>
            </w:pPr>
            <w:r>
              <w:rPr>
                <w:rFonts w:cs="Arial"/>
                <w:bCs/>
                <w:lang w:val="en-GB"/>
              </w:rPr>
              <w:t>Recommended Co-</w:t>
            </w:r>
            <w:r w:rsidR="00102170">
              <w:rPr>
                <w:rFonts w:cs="Arial"/>
                <w:bCs/>
                <w:lang w:val="en-GB"/>
              </w:rPr>
              <w:t>requisite</w:t>
            </w:r>
            <w:r>
              <w:rPr>
                <w:rFonts w:cs="Arial"/>
                <w:bCs/>
                <w:lang w:val="en-GB"/>
              </w:rPr>
              <w:t xml:space="preserve">: Clinical Practice Course </w:t>
            </w:r>
          </w:p>
          <w:p w:rsidR="00366757" w:rsidRDefault="00366757" w:rsidP="00445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tc>
      </w:tr>
      <w:tr w:rsidR="00F974BB" w:rsidTr="00695A3D">
        <w:trPr>
          <w:cantSplit/>
        </w:trPr>
        <w:tc>
          <w:tcPr>
            <w:tcW w:w="675" w:type="dxa"/>
          </w:tcPr>
          <w:p w:rsidR="00F974BB" w:rsidRDefault="00F974BB" w:rsidP="00695A3D">
            <w:pPr>
              <w:rPr>
                <w:b/>
              </w:rPr>
            </w:pPr>
            <w:r>
              <w:rPr>
                <w:b/>
              </w:rPr>
              <w:t>I</w:t>
            </w:r>
            <w:r w:rsidR="00366757">
              <w:rPr>
                <w:b/>
              </w:rPr>
              <w:t>I</w:t>
            </w:r>
            <w:r>
              <w:rPr>
                <w:b/>
              </w:rPr>
              <w:t>.</w:t>
            </w:r>
          </w:p>
        </w:tc>
        <w:tc>
          <w:tcPr>
            <w:tcW w:w="8181" w:type="dxa"/>
          </w:tcPr>
          <w:p w:rsidR="00F974BB" w:rsidRDefault="00F974BB" w:rsidP="00695A3D">
            <w:pPr>
              <w:rPr>
                <w:b/>
              </w:rPr>
            </w:pPr>
            <w:r>
              <w:rPr>
                <w:b/>
              </w:rPr>
              <w:t xml:space="preserve">LEARNING OUTCOMES </w:t>
            </w:r>
            <w:smartTag w:uri="urn:schemas-microsoft-com:office:smarttags" w:element="stockticker">
              <w:r>
                <w:rPr>
                  <w:b/>
                </w:rPr>
                <w:t>AND</w:t>
              </w:r>
            </w:smartTag>
            <w:r>
              <w:rPr>
                <w:b/>
              </w:rPr>
              <w:t xml:space="preserve"> ELEMENTS OF THE PERFORMANCE:</w:t>
            </w:r>
          </w:p>
          <w:p w:rsidR="00F974BB" w:rsidRDefault="00151A3D" w:rsidP="00695A3D">
            <w:pPr>
              <w:rPr>
                <w:b/>
                <w:bCs/>
                <w:u w:val="single"/>
              </w:rPr>
            </w:pPr>
            <w:r>
              <w:rPr>
                <w:b/>
                <w:bCs/>
                <w:u w:val="single"/>
              </w:rPr>
              <w:t>Ends-in-View</w:t>
            </w:r>
          </w:p>
          <w:p w:rsidR="00151A3D" w:rsidRDefault="00151A3D" w:rsidP="00151A3D">
            <w:pPr>
              <w:pStyle w:val="ListParagraph"/>
              <w:numPr>
                <w:ilvl w:val="0"/>
                <w:numId w:val="3"/>
              </w:numPr>
              <w:ind w:left="405" w:hanging="405"/>
              <w:rPr>
                <w:iCs/>
                <w:snapToGrid w:val="0"/>
              </w:rPr>
            </w:pPr>
            <w:r w:rsidRPr="006D4162">
              <w:rPr>
                <w:iCs/>
                <w:snapToGrid w:val="0"/>
              </w:rPr>
              <w:t xml:space="preserve">Opportunities will be provided for participants to experiment in teaching and learning and to explore and experience the role of health educator first hand with individuals and groups in a variety of contexts, including the clinical and community settings and microteaching labs with peers. </w:t>
            </w:r>
          </w:p>
          <w:p w:rsidR="00151A3D" w:rsidRDefault="00151A3D" w:rsidP="00151A3D">
            <w:pPr>
              <w:pStyle w:val="ListParagraph"/>
              <w:numPr>
                <w:ilvl w:val="0"/>
                <w:numId w:val="3"/>
              </w:numPr>
              <w:ind w:left="405" w:hanging="405"/>
              <w:rPr>
                <w:iCs/>
                <w:snapToGrid w:val="0"/>
              </w:rPr>
            </w:pPr>
            <w:r w:rsidRPr="006D4162">
              <w:rPr>
                <w:iCs/>
                <w:snapToGrid w:val="0"/>
              </w:rPr>
              <w:t xml:space="preserve"> Through thoughtful discussion and personal reflection participants will critique educational theories and their relevance to nursing. </w:t>
            </w:r>
          </w:p>
          <w:p w:rsidR="00151A3D" w:rsidRDefault="00151A3D" w:rsidP="00151A3D">
            <w:pPr>
              <w:pStyle w:val="ListParagraph"/>
              <w:numPr>
                <w:ilvl w:val="0"/>
                <w:numId w:val="3"/>
              </w:numPr>
              <w:ind w:left="405" w:hanging="405"/>
              <w:rPr>
                <w:iCs/>
                <w:snapToGrid w:val="0"/>
              </w:rPr>
            </w:pPr>
            <w:r w:rsidRPr="006D4162">
              <w:rPr>
                <w:iCs/>
                <w:snapToGrid w:val="0"/>
              </w:rPr>
              <w:t xml:space="preserve">Throughout the course, the focus will be on personal meaning-making, and the personal and professional transitions that occur </w:t>
            </w:r>
          </w:p>
          <w:p w:rsidR="00151A3D" w:rsidRDefault="00151A3D" w:rsidP="00151A3D">
            <w:pPr>
              <w:ind w:left="405"/>
              <w:rPr>
                <w:i/>
                <w:snapToGrid w:val="0"/>
              </w:rPr>
            </w:pPr>
            <w:proofErr w:type="gramStart"/>
            <w:r w:rsidRPr="0044581B">
              <w:rPr>
                <w:iCs/>
                <w:snapToGrid w:val="0"/>
              </w:rPr>
              <w:t>when</w:t>
            </w:r>
            <w:proofErr w:type="gramEnd"/>
            <w:r w:rsidRPr="0044581B">
              <w:rPr>
                <w:iCs/>
                <w:snapToGrid w:val="0"/>
              </w:rPr>
              <w:t xml:space="preserve"> we move freely back and forth as both learner and teacher with others</w:t>
            </w:r>
            <w:r w:rsidRPr="0044581B">
              <w:rPr>
                <w:i/>
                <w:snapToGrid w:val="0"/>
              </w:rPr>
              <w:t>.</w:t>
            </w:r>
          </w:p>
          <w:p w:rsidR="00151A3D" w:rsidRDefault="00151A3D" w:rsidP="00695A3D"/>
          <w:p w:rsidR="00151A3D" w:rsidRDefault="00151A3D" w:rsidP="00151A3D">
            <w:pPr>
              <w:rPr>
                <w:iCs/>
                <w:snapToGrid w:val="0"/>
              </w:rPr>
            </w:pPr>
            <w:r>
              <w:rPr>
                <w:b/>
                <w:bCs/>
                <w:iCs/>
                <w:snapToGrid w:val="0"/>
                <w:u w:val="single"/>
              </w:rPr>
              <w:t>Process</w:t>
            </w:r>
          </w:p>
          <w:p w:rsidR="00151A3D" w:rsidRDefault="00151A3D" w:rsidP="00151A3D">
            <w:pPr>
              <w:widowControl w:val="0"/>
              <w:rPr>
                <w:iCs/>
                <w:snapToGrid w:val="0"/>
              </w:rPr>
            </w:pPr>
          </w:p>
          <w:p w:rsidR="00151A3D" w:rsidRDefault="00151A3D" w:rsidP="00151A3D">
            <w:pPr>
              <w:rPr>
                <w:iCs/>
                <w:snapToGrid w:val="0"/>
              </w:rPr>
            </w:pPr>
            <w:r>
              <w:rPr>
                <w:lang w:val="en-GB"/>
              </w:rPr>
              <w:t xml:space="preserve">This course is designed to promote professional growth as a teacher and a learner. </w:t>
            </w:r>
            <w:r w:rsidRPr="007E1639">
              <w:rPr>
                <w:lang w:val="en-GB"/>
              </w:rPr>
              <w:t xml:space="preserve"> </w:t>
            </w:r>
            <w:r>
              <w:rPr>
                <w:lang w:val="en-GB"/>
              </w:rPr>
              <w:t>Conceptual and experiential understanding of course concepts is developed during interactive class discussions, and the sharing of personal reflections. Praxis will occur in both the classroom and a community setting. A</w:t>
            </w:r>
            <w:proofErr w:type="spellStart"/>
            <w:r>
              <w:rPr>
                <w:iCs/>
                <w:snapToGrid w:val="0"/>
              </w:rPr>
              <w:t>ll</w:t>
            </w:r>
            <w:proofErr w:type="spellEnd"/>
            <w:r>
              <w:rPr>
                <w:iCs/>
                <w:snapToGrid w:val="0"/>
              </w:rPr>
              <w:t xml:space="preserve"> participants in the classroom will experience different ways of being both a learner and a teacher, and share observations</w:t>
            </w:r>
            <w:r>
              <w:rPr>
                <w:i/>
                <w:snapToGrid w:val="0"/>
              </w:rPr>
              <w:t xml:space="preserve"> </w:t>
            </w:r>
            <w:r>
              <w:rPr>
                <w:iCs/>
                <w:snapToGrid w:val="0"/>
              </w:rPr>
              <w:t>in active dialogue. It is expected that due to the nature of learning, what and how each participant learns will vary. Individuals will modify what is presented or experienced through a personal model of reality, and a process of learning. That is why active engagement in dialogue supports the successful growth of the entire class.</w:t>
            </w:r>
          </w:p>
          <w:p w:rsidR="00151A3D" w:rsidRPr="00151A3D" w:rsidRDefault="00151A3D" w:rsidP="00695A3D"/>
        </w:tc>
      </w:tr>
    </w:tbl>
    <w:p w:rsidR="003C2F90" w:rsidRDefault="003C2F90" w:rsidP="00445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lang w:val="en-GB"/>
        </w:rPr>
      </w:pPr>
    </w:p>
    <w:p w:rsidR="003C2F90" w:rsidRDefault="003C2F90">
      <w:pPr>
        <w:rPr>
          <w:rFonts w:cs="Arial"/>
          <w:bCs/>
          <w:lang w:val="en-GB"/>
        </w:rPr>
      </w:pPr>
      <w:r>
        <w:rPr>
          <w:rFonts w:cs="Arial"/>
          <w:bCs/>
          <w:lang w:val="en-GB"/>
        </w:rPr>
        <w:br w:type="page"/>
      </w:r>
    </w:p>
    <w:tbl>
      <w:tblPr>
        <w:tblW w:w="0" w:type="auto"/>
        <w:tblLayout w:type="fixed"/>
        <w:tblLook w:val="0000"/>
      </w:tblPr>
      <w:tblGrid>
        <w:gridCol w:w="675"/>
        <w:gridCol w:w="7857"/>
      </w:tblGrid>
      <w:tr w:rsidR="00F974BB" w:rsidTr="00F54BAB">
        <w:trPr>
          <w:cantSplit/>
        </w:trPr>
        <w:tc>
          <w:tcPr>
            <w:tcW w:w="675" w:type="dxa"/>
          </w:tcPr>
          <w:p w:rsidR="00F974BB" w:rsidRDefault="00F974BB" w:rsidP="00695A3D">
            <w:pPr>
              <w:rPr>
                <w:b/>
              </w:rPr>
            </w:pPr>
            <w:r>
              <w:rPr>
                <w:b/>
              </w:rPr>
              <w:lastRenderedPageBreak/>
              <w:t>III.</w:t>
            </w:r>
          </w:p>
        </w:tc>
        <w:tc>
          <w:tcPr>
            <w:tcW w:w="7857" w:type="dxa"/>
          </w:tcPr>
          <w:p w:rsidR="00F974BB" w:rsidRDefault="00F974BB" w:rsidP="00695A3D">
            <w:pPr>
              <w:rPr>
                <w:b/>
              </w:rPr>
            </w:pPr>
            <w:r>
              <w:rPr>
                <w:b/>
              </w:rPr>
              <w:t>TOPICS:</w:t>
            </w:r>
          </w:p>
          <w:p w:rsidR="00F974BB" w:rsidRDefault="0044581B" w:rsidP="00695A3D">
            <w:pPr>
              <w:rPr>
                <w:rFonts w:cs="Arial"/>
                <w:lang w:val="en-GB"/>
              </w:rPr>
            </w:pPr>
            <w:r w:rsidRPr="004113C2">
              <w:rPr>
                <w:rFonts w:cs="Arial"/>
                <w:lang w:val="en-GB"/>
              </w:rPr>
              <w:t>Through the use of a variety of learning activities, the course content will reflect the following concepts:</w:t>
            </w:r>
            <w:r w:rsidR="00F54BAB">
              <w:rPr>
                <w:rFonts w:cs="Arial"/>
                <w:lang w:val="en-GB"/>
              </w:rPr>
              <w:t xml:space="preserve"> </w:t>
            </w:r>
          </w:p>
          <w:p w:rsidR="00151A3D" w:rsidRDefault="00151A3D" w:rsidP="00695A3D">
            <w:pPr>
              <w:rPr>
                <w:rFonts w:cs="Arial"/>
                <w:lang w:val="en-GB"/>
              </w:rPr>
            </w:pPr>
          </w:p>
          <w:p w:rsidR="00151A3D" w:rsidRPr="00151A3D" w:rsidRDefault="00151A3D" w:rsidP="00151A3D">
            <w:pPr>
              <w:pStyle w:val="ListParagraph"/>
              <w:numPr>
                <w:ilvl w:val="0"/>
                <w:numId w:val="9"/>
              </w:numPr>
              <w:rPr>
                <w:rFonts w:cs="Arial"/>
                <w:lang w:val="en-GB"/>
              </w:rPr>
            </w:pPr>
            <w:r>
              <w:t>Paradigm shifts in education and learning.</w:t>
            </w:r>
            <w:r w:rsidRPr="00151A3D">
              <w:rPr>
                <w:rFonts w:cs="Arial"/>
                <w:lang w:val="en-GB"/>
              </w:rPr>
              <w:t xml:space="preserve"> Historical beliefs/vision</w:t>
            </w:r>
          </w:p>
          <w:p w:rsidR="00151A3D" w:rsidRPr="00151A3D" w:rsidRDefault="00151A3D" w:rsidP="00151A3D">
            <w:pPr>
              <w:pStyle w:val="ListParagraph"/>
              <w:numPr>
                <w:ilvl w:val="0"/>
                <w:numId w:val="9"/>
              </w:numPr>
              <w:rPr>
                <w:rFonts w:cs="Arial"/>
                <w:lang w:val="en-GB"/>
              </w:rPr>
            </w:pPr>
            <w:r w:rsidRPr="00151A3D">
              <w:rPr>
                <w:rFonts w:cs="Arial"/>
                <w:lang w:val="en-GB"/>
              </w:rPr>
              <w:t>Exploring theoretical and personal perspectives on teaching and learning</w:t>
            </w:r>
          </w:p>
          <w:p w:rsidR="00151A3D" w:rsidRPr="00151A3D" w:rsidRDefault="00151A3D" w:rsidP="00151A3D">
            <w:pPr>
              <w:pStyle w:val="ListParagraph"/>
              <w:numPr>
                <w:ilvl w:val="0"/>
                <w:numId w:val="9"/>
              </w:numPr>
              <w:rPr>
                <w:rFonts w:cs="Arial"/>
                <w:lang w:val="en-GB"/>
              </w:rPr>
            </w:pPr>
            <w:r w:rsidRPr="00151A3D">
              <w:rPr>
                <w:rFonts w:cs="Arial"/>
                <w:lang w:val="en-GB"/>
              </w:rPr>
              <w:t>Factors affecting assessment of the learner (Assessment)</w:t>
            </w:r>
          </w:p>
          <w:p w:rsidR="00151A3D" w:rsidRPr="00151A3D" w:rsidRDefault="00151A3D" w:rsidP="00151A3D">
            <w:pPr>
              <w:pStyle w:val="ListParagraph"/>
              <w:numPr>
                <w:ilvl w:val="0"/>
                <w:numId w:val="9"/>
              </w:numPr>
              <w:rPr>
                <w:rFonts w:cs="Arial"/>
                <w:lang w:val="en-GB"/>
              </w:rPr>
            </w:pPr>
            <w:r w:rsidRPr="00151A3D">
              <w:rPr>
                <w:rFonts w:cs="Arial"/>
                <w:lang w:val="en-GB"/>
              </w:rPr>
              <w:t>Assessing the need to know, setting ends-in-view, negotiated learner (planning)</w:t>
            </w:r>
          </w:p>
          <w:p w:rsidR="00151A3D" w:rsidRPr="00151A3D" w:rsidRDefault="00151A3D" w:rsidP="00151A3D">
            <w:pPr>
              <w:pStyle w:val="ListParagraph"/>
              <w:numPr>
                <w:ilvl w:val="0"/>
                <w:numId w:val="9"/>
              </w:numPr>
              <w:rPr>
                <w:rFonts w:cs="Arial"/>
                <w:lang w:val="en-GB"/>
              </w:rPr>
            </w:pPr>
            <w:r w:rsidRPr="00151A3D">
              <w:rPr>
                <w:rFonts w:cs="Arial"/>
                <w:lang w:val="en-GB"/>
              </w:rPr>
              <w:t>Ways of being as nurse teacher, involved in mutual planning (process)</w:t>
            </w:r>
          </w:p>
          <w:p w:rsidR="00151A3D" w:rsidRPr="00151A3D" w:rsidRDefault="00151A3D" w:rsidP="00151A3D">
            <w:pPr>
              <w:pStyle w:val="ListParagraph"/>
              <w:numPr>
                <w:ilvl w:val="0"/>
                <w:numId w:val="9"/>
              </w:numPr>
              <w:rPr>
                <w:rFonts w:cs="Arial"/>
                <w:lang w:val="en-GB"/>
              </w:rPr>
            </w:pPr>
            <w:r w:rsidRPr="00151A3D">
              <w:rPr>
                <w:rFonts w:cs="Arial"/>
                <w:lang w:val="en-GB"/>
              </w:rPr>
              <w:t>Ways of facilitating as nurse teacher, creating the teaching moment, managing structure and complexity (strategies)</w:t>
            </w:r>
          </w:p>
          <w:p w:rsidR="00151A3D" w:rsidRPr="00151A3D" w:rsidRDefault="00151A3D" w:rsidP="00151A3D">
            <w:pPr>
              <w:pStyle w:val="ListParagraph"/>
              <w:numPr>
                <w:ilvl w:val="0"/>
                <w:numId w:val="9"/>
              </w:numPr>
              <w:rPr>
                <w:rFonts w:cs="Arial"/>
                <w:lang w:val="en-GB"/>
              </w:rPr>
            </w:pPr>
            <w:r w:rsidRPr="00151A3D">
              <w:rPr>
                <w:rFonts w:cs="Arial"/>
                <w:lang w:val="en-GB"/>
              </w:rPr>
              <w:t>Ways of facilitating as nurse teacher, pragmatic principles of teaching</w:t>
            </w:r>
          </w:p>
          <w:p w:rsidR="00151A3D" w:rsidRPr="00151A3D" w:rsidRDefault="00151A3D" w:rsidP="00151A3D">
            <w:pPr>
              <w:pStyle w:val="ListParagraph"/>
              <w:numPr>
                <w:ilvl w:val="0"/>
                <w:numId w:val="9"/>
              </w:numPr>
              <w:rPr>
                <w:rFonts w:cs="Arial"/>
                <w:lang w:val="en-GB"/>
              </w:rPr>
            </w:pPr>
            <w:r w:rsidRPr="00151A3D">
              <w:rPr>
                <w:rFonts w:cs="Arial"/>
                <w:lang w:val="en-GB"/>
              </w:rPr>
              <w:t>Assessing for personal meaning (evaluation)</w:t>
            </w:r>
          </w:p>
          <w:p w:rsidR="00151A3D" w:rsidRDefault="00151A3D" w:rsidP="00695A3D"/>
          <w:p w:rsidR="00151A3D" w:rsidRDefault="00151A3D" w:rsidP="00695A3D">
            <w:r>
              <w:t>Others topics may be added as student/faculty needs suggest.</w:t>
            </w:r>
          </w:p>
        </w:tc>
      </w:tr>
    </w:tbl>
    <w:p w:rsidR="00151A3D" w:rsidRDefault="00151A3D"/>
    <w:p w:rsidR="003C2F90" w:rsidRDefault="003C2F90"/>
    <w:tbl>
      <w:tblPr>
        <w:tblW w:w="0" w:type="auto"/>
        <w:tblLayout w:type="fixed"/>
        <w:tblLook w:val="0000"/>
      </w:tblPr>
      <w:tblGrid>
        <w:gridCol w:w="675"/>
        <w:gridCol w:w="7857"/>
      </w:tblGrid>
      <w:tr w:rsidR="00151A3D" w:rsidTr="00F54BAB">
        <w:trPr>
          <w:cantSplit/>
        </w:trPr>
        <w:tc>
          <w:tcPr>
            <w:tcW w:w="675" w:type="dxa"/>
          </w:tcPr>
          <w:p w:rsidR="00151A3D" w:rsidRDefault="00151A3D" w:rsidP="00695A3D">
            <w:pPr>
              <w:rPr>
                <w:b/>
              </w:rPr>
            </w:pPr>
            <w:r>
              <w:rPr>
                <w:b/>
              </w:rPr>
              <w:t>IV.</w:t>
            </w:r>
          </w:p>
        </w:tc>
        <w:tc>
          <w:tcPr>
            <w:tcW w:w="7857" w:type="dxa"/>
          </w:tcPr>
          <w:p w:rsidR="00844990" w:rsidRDefault="00844990" w:rsidP="00844990">
            <w:pPr>
              <w:rPr>
                <w:bCs/>
              </w:rPr>
            </w:pPr>
            <w:r>
              <w:rPr>
                <w:b/>
              </w:rPr>
              <w:t>REQUIRED RESOURCES/TEXTS/MATERIALS:</w:t>
            </w:r>
          </w:p>
          <w:p w:rsidR="00151A3D" w:rsidRDefault="00151A3D" w:rsidP="00695A3D">
            <w:pPr>
              <w:rPr>
                <w:b/>
              </w:rPr>
            </w:pPr>
          </w:p>
          <w:p w:rsidR="00844990" w:rsidRDefault="00844990" w:rsidP="00844990">
            <w:pPr>
              <w:ind w:left="535" w:hanging="550"/>
              <w:rPr>
                <w:bCs/>
              </w:rPr>
            </w:pPr>
            <w:proofErr w:type="spellStart"/>
            <w:r>
              <w:rPr>
                <w:bCs/>
              </w:rPr>
              <w:t>Bastable</w:t>
            </w:r>
            <w:proofErr w:type="spellEnd"/>
            <w:r>
              <w:rPr>
                <w:bCs/>
              </w:rPr>
              <w:t xml:space="preserve">, S. (2008). </w:t>
            </w:r>
            <w:r>
              <w:rPr>
                <w:bCs/>
                <w:i/>
                <w:iCs/>
              </w:rPr>
              <w:t>Nurse as educator: Principles of teaching and learning for Nursing practice</w:t>
            </w:r>
            <w:r>
              <w:rPr>
                <w:bCs/>
              </w:rPr>
              <w:t xml:space="preserve"> (</w:t>
            </w:r>
            <w:proofErr w:type="gramStart"/>
            <w:r>
              <w:rPr>
                <w:bCs/>
              </w:rPr>
              <w:t>3</w:t>
            </w:r>
            <w:r w:rsidRPr="00E73D80">
              <w:rPr>
                <w:bCs/>
                <w:vertAlign w:val="superscript"/>
              </w:rPr>
              <w:t>rd</w:t>
            </w:r>
            <w:r>
              <w:rPr>
                <w:bCs/>
              </w:rPr>
              <w:t xml:space="preserve">  ed</w:t>
            </w:r>
            <w:proofErr w:type="gramEnd"/>
            <w:r>
              <w:rPr>
                <w:bCs/>
              </w:rPr>
              <w:t xml:space="preserve">.). </w:t>
            </w:r>
            <w:smartTag w:uri="urn:schemas-microsoft-com:office:smarttags" w:element="place">
              <w:smartTag w:uri="urn:schemas-microsoft-com:office:smarttags" w:element="City">
                <w:r>
                  <w:rPr>
                    <w:bCs/>
                  </w:rPr>
                  <w:t>Sudbury</w:t>
                </w:r>
              </w:smartTag>
              <w:r>
                <w:rPr>
                  <w:bCs/>
                </w:rPr>
                <w:t xml:space="preserve">, </w:t>
              </w:r>
              <w:smartTag w:uri="urn:schemas-microsoft-com:office:smarttags" w:element="State">
                <w:r>
                  <w:rPr>
                    <w:bCs/>
                  </w:rPr>
                  <w:t>MA</w:t>
                </w:r>
              </w:smartTag>
            </w:smartTag>
            <w:r>
              <w:rPr>
                <w:bCs/>
              </w:rPr>
              <w:t>: Jones &amp; Bartlett Publishers.</w:t>
            </w:r>
          </w:p>
          <w:p w:rsidR="00844990" w:rsidRDefault="00844990" w:rsidP="00695A3D">
            <w:pPr>
              <w:rPr>
                <w:b/>
              </w:rPr>
            </w:pPr>
          </w:p>
          <w:p w:rsidR="00844990" w:rsidRDefault="00844990" w:rsidP="00844990">
            <w:pPr>
              <w:pStyle w:val="Heading3"/>
              <w:rPr>
                <w:rFonts w:ascii="Times New Roman" w:hAnsi="Times New Roman"/>
                <w:b/>
                <w:u w:val="none"/>
              </w:rPr>
            </w:pPr>
            <w:r>
              <w:rPr>
                <w:rFonts w:ascii="Times New Roman" w:hAnsi="Times New Roman"/>
                <w:b/>
                <w:u w:val="none"/>
              </w:rPr>
              <w:t>Recommended (on reserve)</w:t>
            </w:r>
          </w:p>
          <w:p w:rsidR="00844990" w:rsidRDefault="00844990" w:rsidP="00844990">
            <w:pPr>
              <w:rPr>
                <w:bCs/>
                <w:iCs/>
              </w:rPr>
            </w:pPr>
          </w:p>
          <w:p w:rsidR="00844990" w:rsidRDefault="00844990" w:rsidP="00844990">
            <w:pPr>
              <w:tabs>
                <w:tab w:val="left" w:pos="6120"/>
              </w:tabs>
              <w:rPr>
                <w:rFonts w:cs="Arial"/>
              </w:rPr>
            </w:pPr>
            <w:proofErr w:type="spellStart"/>
            <w:r>
              <w:rPr>
                <w:rFonts w:cs="Arial"/>
              </w:rPr>
              <w:t>Keiger</w:t>
            </w:r>
            <w:proofErr w:type="spellEnd"/>
            <w:r>
              <w:rPr>
                <w:rFonts w:cs="Arial"/>
              </w:rPr>
              <w:t>, A</w:t>
            </w:r>
            <w:proofErr w:type="gramStart"/>
            <w:r>
              <w:rPr>
                <w:rFonts w:cs="Arial"/>
              </w:rPr>
              <w:t>.(</w:t>
            </w:r>
            <w:proofErr w:type="gramEnd"/>
            <w:r>
              <w:rPr>
                <w:rFonts w:cs="Arial"/>
              </w:rPr>
              <w:t>2004).</w:t>
            </w:r>
            <w:r>
              <w:rPr>
                <w:rFonts w:cs="Arial"/>
                <w:i/>
              </w:rPr>
              <w:t>Teaching for health.</w:t>
            </w:r>
            <w:r>
              <w:rPr>
                <w:rFonts w:cs="Arial"/>
              </w:rPr>
              <w:t>(3</w:t>
            </w:r>
            <w:r w:rsidRPr="00491DF2">
              <w:rPr>
                <w:rFonts w:cs="Arial"/>
                <w:vertAlign w:val="superscript"/>
              </w:rPr>
              <w:t>rd</w:t>
            </w:r>
            <w:r>
              <w:rPr>
                <w:rFonts w:cs="Arial"/>
              </w:rPr>
              <w:t xml:space="preserve"> </w:t>
            </w:r>
            <w:smartTag w:uri="urn:schemas:contacts" w:element="GivenName">
              <w:r>
                <w:rPr>
                  <w:rFonts w:cs="Arial"/>
                </w:rPr>
                <w:t>ed</w:t>
              </w:r>
            </w:smartTag>
            <w:r>
              <w:rPr>
                <w:rFonts w:cs="Arial"/>
              </w:rPr>
              <w:t>.).</w:t>
            </w:r>
            <w:smartTag w:uri="urn:schemas-microsoft-com:office:smarttags" w:element="place">
              <w:smartTag w:uri="urn:schemas-microsoft-com:office:smarttags" w:element="City">
                <w:r>
                  <w:rPr>
                    <w:rFonts w:cs="Arial"/>
                  </w:rPr>
                  <w:t>Toronto</w:t>
                </w:r>
              </w:smartTag>
            </w:smartTag>
            <w:r>
              <w:rPr>
                <w:rFonts w:cs="Arial"/>
              </w:rPr>
              <w:t xml:space="preserve">: </w:t>
            </w:r>
          </w:p>
          <w:p w:rsidR="00844990" w:rsidRDefault="00844990" w:rsidP="00844990">
            <w:pPr>
              <w:tabs>
                <w:tab w:val="left" w:pos="6120"/>
              </w:tabs>
              <w:rPr>
                <w:rFonts w:cs="Arial"/>
              </w:rPr>
            </w:pPr>
            <w:r>
              <w:rPr>
                <w:rFonts w:cs="Arial"/>
              </w:rPr>
              <w:t xml:space="preserve">        Churchill Livingstone.</w:t>
            </w:r>
          </w:p>
          <w:p w:rsidR="00844990" w:rsidRDefault="00844990" w:rsidP="00844990">
            <w:pPr>
              <w:tabs>
                <w:tab w:val="left" w:pos="6120"/>
              </w:tabs>
              <w:rPr>
                <w:bCs/>
                <w:iCs/>
              </w:rPr>
            </w:pPr>
          </w:p>
          <w:p w:rsidR="00844990" w:rsidRPr="005C02C6" w:rsidRDefault="00844990" w:rsidP="00844990">
            <w:pPr>
              <w:ind w:left="535" w:hanging="550"/>
              <w:rPr>
                <w:bCs/>
              </w:rPr>
            </w:pPr>
            <w:r>
              <w:rPr>
                <w:bCs/>
              </w:rPr>
              <w:t xml:space="preserve">Knowles, M., Holton, E., &amp; </w:t>
            </w:r>
            <w:smartTag w:uri="urn:schemas:contacts" w:element="Sn">
              <w:r>
                <w:rPr>
                  <w:bCs/>
                </w:rPr>
                <w:t>Swanson</w:t>
              </w:r>
            </w:smartTag>
            <w:r>
              <w:rPr>
                <w:bCs/>
              </w:rPr>
              <w:t>, R. (2005).</w:t>
            </w:r>
            <w:r>
              <w:rPr>
                <w:bCs/>
                <w:i/>
              </w:rPr>
              <w:t xml:space="preserve">The Adult Learner. </w:t>
            </w:r>
            <w:r>
              <w:rPr>
                <w:bCs/>
              </w:rPr>
              <w:t>(6</w:t>
            </w:r>
            <w:r w:rsidRPr="00E73D80">
              <w:rPr>
                <w:bCs/>
                <w:vertAlign w:val="superscript"/>
              </w:rPr>
              <w:t>th</w:t>
            </w:r>
            <w:r>
              <w:rPr>
                <w:bCs/>
              </w:rPr>
              <w:t xml:space="preserve"> </w:t>
            </w:r>
            <w:smartTag w:uri="urn:schemas:contacts" w:element="GivenName">
              <w:r>
                <w:rPr>
                  <w:bCs/>
                </w:rPr>
                <w:t>ed</w:t>
              </w:r>
            </w:smartTag>
            <w:r>
              <w:rPr>
                <w:bCs/>
              </w:rPr>
              <w:t xml:space="preserve">.) </w:t>
            </w:r>
            <w:smartTag w:uri="urn:schemas-microsoft-com:office:smarttags" w:element="place">
              <w:smartTag w:uri="urn:schemas-microsoft-com:office:smarttags" w:element="City">
                <w:r>
                  <w:rPr>
                    <w:bCs/>
                  </w:rPr>
                  <w:t>Boston</w:t>
                </w:r>
              </w:smartTag>
            </w:smartTag>
            <w:r>
              <w:rPr>
                <w:bCs/>
              </w:rPr>
              <w:t>: Elsevier.</w:t>
            </w:r>
          </w:p>
          <w:p w:rsidR="00844990" w:rsidRDefault="00844990" w:rsidP="00844990">
            <w:pPr>
              <w:rPr>
                <w:bCs/>
              </w:rPr>
            </w:pPr>
          </w:p>
          <w:p w:rsidR="00844990" w:rsidRDefault="00844990" w:rsidP="00844990">
            <w:pPr>
              <w:ind w:left="535" w:hanging="535"/>
              <w:rPr>
                <w:bCs/>
              </w:rPr>
            </w:pPr>
            <w:proofErr w:type="spellStart"/>
            <w:r>
              <w:rPr>
                <w:bCs/>
              </w:rPr>
              <w:t>MacKeracher</w:t>
            </w:r>
            <w:proofErr w:type="spellEnd"/>
            <w:r>
              <w:rPr>
                <w:bCs/>
              </w:rPr>
              <w:t xml:space="preserve">, D. (2004). </w:t>
            </w:r>
            <w:r>
              <w:rPr>
                <w:bCs/>
                <w:i/>
                <w:iCs/>
              </w:rPr>
              <w:t>Making sense of adult learning (2</w:t>
            </w:r>
            <w:r w:rsidRPr="00E73D80">
              <w:rPr>
                <w:bCs/>
                <w:i/>
                <w:iCs/>
                <w:vertAlign w:val="superscript"/>
              </w:rPr>
              <w:t>nd</w:t>
            </w:r>
            <w:r>
              <w:rPr>
                <w:bCs/>
                <w:i/>
                <w:iCs/>
              </w:rPr>
              <w:t xml:space="preserve"> </w:t>
            </w:r>
            <w:smartTag w:uri="urn:schemas:contacts" w:element="GivenName">
              <w:r>
                <w:rPr>
                  <w:bCs/>
                  <w:i/>
                  <w:iCs/>
                </w:rPr>
                <w:t>ed</w:t>
              </w:r>
            </w:smartTag>
            <w:r>
              <w:rPr>
                <w:bCs/>
                <w:i/>
                <w:iCs/>
              </w:rPr>
              <w:t>.)</w:t>
            </w:r>
            <w:r>
              <w:rPr>
                <w:bCs/>
              </w:rPr>
              <w:t xml:space="preserve">.  </w:t>
            </w:r>
            <w:smartTag w:uri="urn:schemas-microsoft-com:office:smarttags" w:element="place">
              <w:smartTag w:uri="urn:schemas-microsoft-com:office:smarttags" w:element="City">
                <w:r>
                  <w:rPr>
                    <w:bCs/>
                  </w:rPr>
                  <w:t>Toronto</w:t>
                </w:r>
              </w:smartTag>
            </w:smartTag>
            <w:r>
              <w:rPr>
                <w:bCs/>
              </w:rPr>
              <w:t xml:space="preserve">: University of Toronto Press Inc.  </w:t>
            </w:r>
          </w:p>
          <w:p w:rsidR="00844990" w:rsidRDefault="00844990" w:rsidP="00844990">
            <w:pPr>
              <w:rPr>
                <w:bCs/>
                <w:iCs/>
              </w:rPr>
            </w:pPr>
          </w:p>
          <w:p w:rsidR="00844990" w:rsidRDefault="00844990" w:rsidP="00844990">
            <w:pPr>
              <w:ind w:left="535" w:hanging="535"/>
              <w:rPr>
                <w:bCs/>
              </w:rPr>
            </w:pPr>
            <w:smartTag w:uri="urn:schemas:contacts" w:element="Sn">
              <w:r>
                <w:rPr>
                  <w:bCs/>
                </w:rPr>
                <w:t>Rankin</w:t>
              </w:r>
            </w:smartTag>
            <w:r>
              <w:rPr>
                <w:bCs/>
              </w:rPr>
              <w:t xml:space="preserve">, </w:t>
            </w:r>
            <w:proofErr w:type="spellStart"/>
            <w:smartTag w:uri="urn:schemas:contacts" w:element="GivenName">
              <w:r>
                <w:rPr>
                  <w:bCs/>
                </w:rPr>
                <w:t>S.H.</w:t>
              </w:r>
            </w:smartTag>
            <w:proofErr w:type="spellEnd"/>
            <w:r>
              <w:rPr>
                <w:bCs/>
              </w:rPr>
              <w:t xml:space="preserve">, &amp; Stallings, </w:t>
            </w:r>
            <w:proofErr w:type="spellStart"/>
            <w:smartTag w:uri="urn:schemas:contacts" w:element="GivenName">
              <w:r>
                <w:rPr>
                  <w:bCs/>
                </w:rPr>
                <w:t>K.D.</w:t>
              </w:r>
            </w:smartTag>
            <w:proofErr w:type="spellEnd"/>
            <w:r>
              <w:rPr>
                <w:bCs/>
              </w:rPr>
              <w:t xml:space="preserve">, &amp; </w:t>
            </w:r>
            <w:smartTag w:uri="urn:schemas-microsoft-com:office:smarttags" w:element="place">
              <w:smartTag w:uri="urn:schemas-microsoft-com:office:smarttags" w:element="City">
                <w:r>
                  <w:rPr>
                    <w:bCs/>
                  </w:rPr>
                  <w:t>London</w:t>
                </w:r>
              </w:smartTag>
            </w:smartTag>
            <w:r>
              <w:rPr>
                <w:bCs/>
              </w:rPr>
              <w:t xml:space="preserve">, F. (2005). </w:t>
            </w:r>
            <w:r>
              <w:rPr>
                <w:bCs/>
                <w:i/>
                <w:iCs/>
              </w:rPr>
              <w:t>Patient education in Health and Illness.</w:t>
            </w:r>
            <w:r>
              <w:rPr>
                <w:bCs/>
              </w:rPr>
              <w:t xml:space="preserve"> (5</w:t>
            </w:r>
            <w:r>
              <w:rPr>
                <w:bCs/>
                <w:vertAlign w:val="superscript"/>
              </w:rPr>
              <w:t>th</w:t>
            </w:r>
            <w:r>
              <w:rPr>
                <w:bCs/>
              </w:rPr>
              <w:t xml:space="preserve"> </w:t>
            </w:r>
            <w:smartTag w:uri="urn:schemas:contacts" w:element="GivenName">
              <w:r>
                <w:rPr>
                  <w:bCs/>
                </w:rPr>
                <w:t>ed</w:t>
              </w:r>
            </w:smartTag>
            <w:r>
              <w:rPr>
                <w:bCs/>
              </w:rPr>
              <w:t xml:space="preserve">.).  </w:t>
            </w:r>
            <w:smartTag w:uri="urn:schemas-microsoft-com:office:smarttags" w:element="place">
              <w:smartTag w:uri="urn:schemas-microsoft-com:office:smarttags" w:element="City">
                <w:r>
                  <w:rPr>
                    <w:bCs/>
                  </w:rPr>
                  <w:t>Philadelphia</w:t>
                </w:r>
              </w:smartTag>
              <w:r>
                <w:rPr>
                  <w:bCs/>
                </w:rPr>
                <w:t xml:space="preserve">, </w:t>
              </w:r>
              <w:smartTag w:uri="urn:schemas-microsoft-com:office:smarttags" w:element="State">
                <w:r>
                  <w:rPr>
                    <w:bCs/>
                  </w:rPr>
                  <w:t>PA</w:t>
                </w:r>
              </w:smartTag>
            </w:smartTag>
            <w:r>
              <w:rPr>
                <w:bCs/>
              </w:rPr>
              <w:t xml:space="preserve">:  </w:t>
            </w:r>
            <w:smartTag w:uri="urn:schemas:contacts" w:element="Sn">
              <w:r>
                <w:rPr>
                  <w:bCs/>
                </w:rPr>
                <w:t>Lippincott</w:t>
              </w:r>
            </w:smartTag>
            <w:r>
              <w:rPr>
                <w:bCs/>
              </w:rPr>
              <w:t>.</w:t>
            </w:r>
          </w:p>
          <w:p w:rsidR="00844990" w:rsidRDefault="00844990" w:rsidP="00844990">
            <w:pPr>
              <w:rPr>
                <w:bCs/>
              </w:rPr>
            </w:pPr>
          </w:p>
          <w:p w:rsidR="00844990" w:rsidRDefault="00844990" w:rsidP="00844990">
            <w:pPr>
              <w:rPr>
                <w:bCs/>
              </w:rPr>
            </w:pPr>
            <w:r>
              <w:rPr>
                <w:bCs/>
              </w:rPr>
              <w:t xml:space="preserve">Redman, </w:t>
            </w:r>
            <w:proofErr w:type="spellStart"/>
            <w:r>
              <w:rPr>
                <w:bCs/>
              </w:rPr>
              <w:t>B.K.</w:t>
            </w:r>
            <w:proofErr w:type="spellEnd"/>
            <w:r>
              <w:rPr>
                <w:bCs/>
              </w:rPr>
              <w:t xml:space="preserve"> (2001).</w:t>
            </w:r>
            <w:r>
              <w:rPr>
                <w:bCs/>
                <w:i/>
                <w:iCs/>
              </w:rPr>
              <w:t>The practice of patient education</w:t>
            </w:r>
            <w:r>
              <w:rPr>
                <w:bCs/>
              </w:rPr>
              <w:t xml:space="preserve"> (9</w:t>
            </w:r>
            <w:r>
              <w:rPr>
                <w:bCs/>
                <w:vertAlign w:val="superscript"/>
              </w:rPr>
              <w:t>th</w:t>
            </w:r>
            <w:r>
              <w:rPr>
                <w:bCs/>
              </w:rPr>
              <w:t xml:space="preserve"> </w:t>
            </w:r>
            <w:smartTag w:uri="urn:schemas:contacts" w:element="GivenName">
              <w:r>
                <w:rPr>
                  <w:bCs/>
                </w:rPr>
                <w:t>ed</w:t>
              </w:r>
            </w:smartTag>
            <w:r>
              <w:rPr>
                <w:bCs/>
              </w:rPr>
              <w:t xml:space="preserve">.).  </w:t>
            </w:r>
          </w:p>
          <w:p w:rsidR="00844990" w:rsidRDefault="00844990" w:rsidP="00844990">
            <w:pPr>
              <w:rPr>
                <w:b/>
              </w:rPr>
            </w:pPr>
            <w:r>
              <w:rPr>
                <w:bCs/>
              </w:rPr>
              <w:t xml:space="preserve">        Toronto:  Mosby.</w:t>
            </w:r>
          </w:p>
          <w:p w:rsidR="00844990" w:rsidRDefault="00844990" w:rsidP="00695A3D">
            <w:pPr>
              <w:rPr>
                <w:b/>
              </w:rPr>
            </w:pPr>
          </w:p>
          <w:p w:rsidR="00844990" w:rsidRDefault="00844990" w:rsidP="00695A3D">
            <w:pPr>
              <w:rPr>
                <w:bCs/>
                <w:i/>
              </w:rPr>
            </w:pPr>
            <w:r>
              <w:rPr>
                <w:bCs/>
              </w:rPr>
              <w:t>Redman, B. (2006).</w:t>
            </w:r>
            <w:r w:rsidRPr="004A64BD">
              <w:rPr>
                <w:bCs/>
                <w:i/>
              </w:rPr>
              <w:t xml:space="preserve">The practice of patient education: A case study </w:t>
            </w:r>
          </w:p>
          <w:p w:rsidR="00844990" w:rsidRDefault="00844990" w:rsidP="00695A3D">
            <w:pPr>
              <w:rPr>
                <w:b/>
              </w:rPr>
            </w:pPr>
            <w:r>
              <w:rPr>
                <w:bCs/>
                <w:i/>
              </w:rPr>
              <w:t xml:space="preserve">        </w:t>
            </w:r>
            <w:proofErr w:type="gramStart"/>
            <w:r w:rsidRPr="004A64BD">
              <w:rPr>
                <w:bCs/>
                <w:i/>
              </w:rPr>
              <w:t>approach</w:t>
            </w:r>
            <w:proofErr w:type="gramEnd"/>
            <w:r>
              <w:rPr>
                <w:bCs/>
                <w:i/>
              </w:rPr>
              <w:t xml:space="preserve"> (10</w:t>
            </w:r>
            <w:r w:rsidRPr="004A64BD">
              <w:rPr>
                <w:bCs/>
                <w:i/>
                <w:vertAlign w:val="superscript"/>
              </w:rPr>
              <w:t>th</w:t>
            </w:r>
            <w:r>
              <w:rPr>
                <w:bCs/>
                <w:i/>
              </w:rPr>
              <w:t xml:space="preserve"> ed. )Toronto: Mosby</w:t>
            </w:r>
          </w:p>
        </w:tc>
      </w:tr>
    </w:tbl>
    <w:p w:rsidR="00844990" w:rsidRDefault="00844990">
      <w:r>
        <w:br w:type="page"/>
      </w:r>
    </w:p>
    <w:tbl>
      <w:tblPr>
        <w:tblW w:w="0" w:type="auto"/>
        <w:tblLayout w:type="fixed"/>
        <w:tblLook w:val="0000"/>
      </w:tblPr>
      <w:tblGrid>
        <w:gridCol w:w="675"/>
        <w:gridCol w:w="7857"/>
      </w:tblGrid>
      <w:tr w:rsidR="00844990" w:rsidTr="00F54BAB">
        <w:trPr>
          <w:cantSplit/>
        </w:trPr>
        <w:tc>
          <w:tcPr>
            <w:tcW w:w="675" w:type="dxa"/>
          </w:tcPr>
          <w:p w:rsidR="00844990" w:rsidRDefault="00844990" w:rsidP="00695A3D">
            <w:pPr>
              <w:rPr>
                <w:b/>
              </w:rPr>
            </w:pPr>
          </w:p>
        </w:tc>
        <w:tc>
          <w:tcPr>
            <w:tcW w:w="7857" w:type="dxa"/>
          </w:tcPr>
          <w:p w:rsidR="00844990" w:rsidRDefault="00844990" w:rsidP="00844990">
            <w:proofErr w:type="spellStart"/>
            <w:r>
              <w:t>RNAO</w:t>
            </w:r>
            <w:proofErr w:type="spellEnd"/>
            <w:r>
              <w:t xml:space="preserve"> Best Practice Guidelines:</w:t>
            </w:r>
          </w:p>
          <w:p w:rsidR="00844990" w:rsidRDefault="00844990" w:rsidP="00844990"/>
          <w:p w:rsidR="00844990" w:rsidRDefault="00844990" w:rsidP="00844990">
            <w:pPr>
              <w:ind w:left="765" w:hanging="780"/>
            </w:pPr>
            <w:proofErr w:type="spellStart"/>
            <w:r w:rsidRPr="00F51136">
              <w:t>RNAO</w:t>
            </w:r>
            <w:proofErr w:type="spellEnd"/>
            <w:r w:rsidRPr="00F51136">
              <w:t>(Registered Nurses Association of Ontario</w:t>
            </w:r>
            <w:r>
              <w:t xml:space="preserve">) </w:t>
            </w:r>
            <w:proofErr w:type="spellStart"/>
            <w:r>
              <w:t>BPG</w:t>
            </w:r>
            <w:proofErr w:type="spellEnd"/>
            <w:r>
              <w:t xml:space="preserve"> </w:t>
            </w:r>
            <w:r w:rsidRPr="00F51136">
              <w:t>200</w:t>
            </w:r>
            <w:r>
              <w:t xml:space="preserve">2, </w:t>
            </w:r>
            <w:r>
              <w:rPr>
                <w:i/>
              </w:rPr>
              <w:t>Client  Centered Care</w:t>
            </w:r>
            <w:r w:rsidRPr="00022586">
              <w:t>, available online</w:t>
            </w:r>
            <w:r>
              <w:t xml:space="preserve"> </w:t>
            </w:r>
            <w:hyperlink r:id="rId9" w:history="1">
              <w:r w:rsidRPr="004E2B62">
                <w:rPr>
                  <w:rStyle w:val="Hyperlink"/>
                </w:rPr>
                <w:t>http://www.rnao.org/bestpractices/PDF/BPG_CCCare.pdf</w:t>
              </w:r>
            </w:hyperlink>
          </w:p>
          <w:p w:rsidR="00844990" w:rsidRDefault="00844990" w:rsidP="00844990">
            <w:pPr>
              <w:ind w:left="765" w:hanging="720"/>
            </w:pPr>
          </w:p>
          <w:p w:rsidR="00844990" w:rsidRPr="009F0D3C" w:rsidRDefault="00844990" w:rsidP="00844990">
            <w:pPr>
              <w:ind w:left="765" w:hanging="780"/>
            </w:pPr>
            <w:proofErr w:type="spellStart"/>
            <w:r w:rsidRPr="00F51136">
              <w:t>RNAO</w:t>
            </w:r>
            <w:proofErr w:type="spellEnd"/>
            <w:r w:rsidRPr="00F51136">
              <w:t xml:space="preserve"> (Registered Nurses Association of Ontario)</w:t>
            </w:r>
            <w:r>
              <w:t xml:space="preserve"> </w:t>
            </w:r>
            <w:proofErr w:type="spellStart"/>
            <w:r>
              <w:t>BPG</w:t>
            </w:r>
            <w:proofErr w:type="spellEnd"/>
            <w:r>
              <w:t xml:space="preserve"> </w:t>
            </w:r>
            <w:r w:rsidRPr="00F51136">
              <w:t xml:space="preserve">2005, </w:t>
            </w:r>
            <w:r w:rsidRPr="00F51136">
              <w:rPr>
                <w:i/>
              </w:rPr>
              <w:t xml:space="preserve">Educator’s Resource. Integration of best practice guidelines, </w:t>
            </w:r>
            <w:r w:rsidRPr="00022586">
              <w:t>available online</w:t>
            </w:r>
            <w:r w:rsidRPr="00F51136">
              <w:rPr>
                <w:i/>
              </w:rPr>
              <w:t xml:space="preserve"> </w:t>
            </w:r>
            <w:hyperlink r:id="rId10" w:history="1">
              <w:r w:rsidRPr="004C4028">
                <w:rPr>
                  <w:rStyle w:val="Hyperlink"/>
                </w:rPr>
                <w:t>http://www.rnao.org/Page.asp?PageID=924&amp;ContentID=822</w:t>
              </w:r>
            </w:hyperlink>
            <w:r>
              <w:t xml:space="preserve"> </w:t>
            </w:r>
          </w:p>
          <w:p w:rsidR="00844990" w:rsidRDefault="00844990" w:rsidP="00844990">
            <w:pPr>
              <w:rPr>
                <w:b/>
              </w:rPr>
            </w:pPr>
          </w:p>
        </w:tc>
      </w:tr>
    </w:tbl>
    <w:p w:rsidR="00F974BB" w:rsidRDefault="00F974BB" w:rsidP="00F974BB"/>
    <w:tbl>
      <w:tblPr>
        <w:tblW w:w="0" w:type="auto"/>
        <w:tblLayout w:type="fixed"/>
        <w:tblLook w:val="0000"/>
      </w:tblPr>
      <w:tblGrid>
        <w:gridCol w:w="675"/>
        <w:gridCol w:w="8181"/>
      </w:tblGrid>
      <w:tr w:rsidR="00F974BB" w:rsidTr="00695A3D">
        <w:trPr>
          <w:cantSplit/>
        </w:trPr>
        <w:tc>
          <w:tcPr>
            <w:tcW w:w="675" w:type="dxa"/>
          </w:tcPr>
          <w:p w:rsidR="00F974BB" w:rsidRDefault="00F974BB" w:rsidP="00695A3D">
            <w:pPr>
              <w:rPr>
                <w:b/>
              </w:rPr>
            </w:pPr>
          </w:p>
        </w:tc>
        <w:tc>
          <w:tcPr>
            <w:tcW w:w="8181" w:type="dxa"/>
          </w:tcPr>
          <w:p w:rsidR="00F974BB" w:rsidRDefault="00F974BB" w:rsidP="00695A3D">
            <w:pPr>
              <w:rPr>
                <w:b/>
              </w:rPr>
            </w:pPr>
            <w:r>
              <w:rPr>
                <w:b/>
              </w:rPr>
              <w:t>ATTENDANCE</w:t>
            </w:r>
          </w:p>
          <w:p w:rsidR="00F974BB" w:rsidRDefault="00F974BB" w:rsidP="00695A3D"/>
        </w:tc>
      </w:tr>
      <w:tr w:rsidR="00F974BB" w:rsidTr="00695A3D">
        <w:trPr>
          <w:cantSplit/>
        </w:trPr>
        <w:tc>
          <w:tcPr>
            <w:tcW w:w="675" w:type="dxa"/>
          </w:tcPr>
          <w:p w:rsidR="00F974BB" w:rsidRDefault="00F974BB" w:rsidP="00695A3D"/>
        </w:tc>
        <w:tc>
          <w:tcPr>
            <w:tcW w:w="8181" w:type="dxa"/>
          </w:tcPr>
          <w:p w:rsidR="00F974BB" w:rsidRDefault="00F974BB" w:rsidP="00695A3D">
            <w:r>
              <w:t>Punctual and regular attendance at the various academic exercises is required of all students.  After a lecture has begun, students may not be admitted to a classroom without the instructor’s permission.  If there are extenuating circumstances bearing upon a student’s absence, the instructor should be notified.  Absences in excess of 20% may jeopardize receipt of credit for the course.</w:t>
            </w:r>
          </w:p>
        </w:tc>
      </w:tr>
    </w:tbl>
    <w:p w:rsidR="00F974BB" w:rsidRDefault="00F974BB" w:rsidP="00F974BB"/>
    <w:p w:rsidR="003C2F90" w:rsidRDefault="003C2F90" w:rsidP="00F974BB"/>
    <w:tbl>
      <w:tblPr>
        <w:tblW w:w="0" w:type="auto"/>
        <w:tblLayout w:type="fixed"/>
        <w:tblLook w:val="0000"/>
      </w:tblPr>
      <w:tblGrid>
        <w:gridCol w:w="675"/>
        <w:gridCol w:w="8181"/>
      </w:tblGrid>
      <w:tr w:rsidR="00F974BB" w:rsidTr="00695A3D">
        <w:trPr>
          <w:cantSplit/>
        </w:trPr>
        <w:tc>
          <w:tcPr>
            <w:tcW w:w="675" w:type="dxa"/>
          </w:tcPr>
          <w:p w:rsidR="00F974BB" w:rsidRDefault="00F974BB" w:rsidP="00695A3D">
            <w:pPr>
              <w:rPr>
                <w:b/>
              </w:rPr>
            </w:pPr>
            <w:r>
              <w:rPr>
                <w:b/>
              </w:rPr>
              <w:t>V.</w:t>
            </w:r>
          </w:p>
        </w:tc>
        <w:tc>
          <w:tcPr>
            <w:tcW w:w="8181" w:type="dxa"/>
          </w:tcPr>
          <w:p w:rsidR="00F974BB" w:rsidRDefault="00F974BB" w:rsidP="00695A3D">
            <w:pPr>
              <w:rPr>
                <w:b/>
              </w:rPr>
            </w:pPr>
            <w:r>
              <w:rPr>
                <w:b/>
              </w:rPr>
              <w:t>EVALUATION PROCESS/GRADING SYSTEM:</w:t>
            </w:r>
          </w:p>
          <w:p w:rsidR="00F974BB" w:rsidRDefault="00F974BB" w:rsidP="00695A3D">
            <w:pPr>
              <w:widowControl w:val="0"/>
            </w:pPr>
          </w:p>
          <w:p w:rsidR="00366757" w:rsidRDefault="00F974BB" w:rsidP="00695A3D">
            <w:pPr>
              <w:widowControl w:val="0"/>
            </w:pPr>
            <w:r>
              <w:t xml:space="preserve">A passing grade of 60% is required for all nursing courses.  The </w:t>
            </w:r>
          </w:p>
          <w:p w:rsidR="00366757" w:rsidRDefault="00F974BB" w:rsidP="00695A3D">
            <w:pPr>
              <w:widowControl w:val="0"/>
            </w:pPr>
            <w:r>
              <w:t xml:space="preserve">grade for Nursing 3056 will be based on three assignments related </w:t>
            </w:r>
          </w:p>
          <w:p w:rsidR="00F974BB" w:rsidRDefault="00F974BB" w:rsidP="00695A3D">
            <w:pPr>
              <w:widowControl w:val="0"/>
            </w:pPr>
            <w:r>
              <w:t xml:space="preserve">to teaching/learning.  There is no examination in this course. </w:t>
            </w:r>
          </w:p>
          <w:p w:rsidR="00F974BB" w:rsidRDefault="00F974BB" w:rsidP="00695A3D">
            <w:pPr>
              <w:widowControl w:val="0"/>
            </w:pPr>
          </w:p>
          <w:p w:rsidR="00F974BB" w:rsidRDefault="00F974BB" w:rsidP="00695A3D">
            <w:pPr>
              <w:widowControl w:val="0"/>
            </w:pPr>
            <w:r>
              <w:t xml:space="preserve">1. </w:t>
            </w:r>
            <w:r>
              <w:tab/>
              <w:t>Mid term: In class case study learner assessment</w:t>
            </w:r>
            <w:r>
              <w:tab/>
            </w:r>
            <w:r>
              <w:tab/>
            </w:r>
            <w:r>
              <w:tab/>
            </w:r>
            <w:r>
              <w:tab/>
            </w:r>
            <w:r>
              <w:tab/>
              <w:t xml:space="preserve">                                                          </w:t>
            </w:r>
            <w:r w:rsidR="00190EBA">
              <w:t xml:space="preserve">               </w:t>
            </w:r>
            <w:r w:rsidR="003C2F90">
              <w:tab/>
            </w:r>
            <w:r>
              <w:t>30%</w:t>
            </w:r>
          </w:p>
          <w:p w:rsidR="00F974BB" w:rsidRDefault="00F974BB" w:rsidP="00695A3D">
            <w:pPr>
              <w:widowControl w:val="0"/>
            </w:pPr>
            <w:r>
              <w:tab/>
            </w:r>
          </w:p>
          <w:p w:rsidR="00F974BB" w:rsidRDefault="00F974BB" w:rsidP="00695A3D">
            <w:pPr>
              <w:widowControl w:val="0"/>
            </w:pPr>
            <w:r>
              <w:t>2.</w:t>
            </w:r>
            <w:r>
              <w:tab/>
              <w:t>Assignment # 1</w:t>
            </w:r>
            <w:r>
              <w:tab/>
            </w:r>
            <w:r>
              <w:tab/>
            </w:r>
            <w:r>
              <w:tab/>
            </w:r>
            <w:r>
              <w:tab/>
            </w:r>
            <w:r>
              <w:tab/>
            </w:r>
            <w:r w:rsidR="00190EBA">
              <w:t xml:space="preserve">        </w:t>
            </w:r>
            <w:r w:rsidR="003C2F90">
              <w:tab/>
            </w:r>
            <w:r>
              <w:t>35%</w:t>
            </w:r>
          </w:p>
          <w:p w:rsidR="00F974BB" w:rsidRDefault="00F974BB" w:rsidP="00695A3D">
            <w:pPr>
              <w:widowControl w:val="0"/>
              <w:ind w:left="645" w:hanging="645"/>
            </w:pPr>
            <w:r>
              <w:tab/>
              <w:t>“Microteaching” and evaluation of teaching</w:t>
            </w:r>
          </w:p>
          <w:p w:rsidR="00F974BB" w:rsidRDefault="00F974BB" w:rsidP="00695A3D">
            <w:pPr>
              <w:widowControl w:val="0"/>
              <w:ind w:left="645" w:hanging="645"/>
            </w:pPr>
          </w:p>
          <w:p w:rsidR="00F974BB" w:rsidRDefault="00F974BB" w:rsidP="00695A3D">
            <w:pPr>
              <w:widowControl w:val="0"/>
            </w:pPr>
            <w:r>
              <w:t>3.</w:t>
            </w:r>
            <w:r>
              <w:tab/>
              <w:t>Assignment # 2</w:t>
            </w:r>
            <w:r>
              <w:tab/>
            </w:r>
            <w:r>
              <w:tab/>
            </w:r>
            <w:r>
              <w:tab/>
            </w:r>
            <w:r>
              <w:tab/>
            </w:r>
            <w:r>
              <w:tab/>
            </w:r>
            <w:r w:rsidR="00190EBA">
              <w:t xml:space="preserve">         </w:t>
            </w:r>
            <w:r w:rsidR="003C2F90">
              <w:tab/>
            </w:r>
            <w:r>
              <w:t>35%</w:t>
            </w:r>
          </w:p>
          <w:p w:rsidR="00F974BB" w:rsidRDefault="00F974BB" w:rsidP="00695A3D">
            <w:pPr>
              <w:ind w:left="645"/>
              <w:rPr>
                <w:bCs/>
                <w:iCs/>
              </w:rPr>
            </w:pPr>
            <w:r>
              <w:rPr>
                <w:bCs/>
                <w:iCs/>
              </w:rPr>
              <w:tab/>
              <w:t>“Creating teaching moments”:  Design and implementation of a teaching plan, teaching strategy</w:t>
            </w:r>
            <w:r w:rsidR="00F936AB">
              <w:rPr>
                <w:bCs/>
                <w:iCs/>
              </w:rPr>
              <w:t>/</w:t>
            </w:r>
            <w:r>
              <w:rPr>
                <w:bCs/>
                <w:iCs/>
              </w:rPr>
              <w:t xml:space="preserve"> tool</w:t>
            </w:r>
            <w:r w:rsidR="00F936AB">
              <w:rPr>
                <w:bCs/>
                <w:iCs/>
              </w:rPr>
              <w:t>/</w:t>
            </w:r>
            <w:r>
              <w:rPr>
                <w:bCs/>
                <w:iCs/>
              </w:rPr>
              <w:t xml:space="preserve"> session, or innovation intended for a community-based learning group.</w:t>
            </w:r>
          </w:p>
          <w:p w:rsidR="00F974BB" w:rsidRDefault="00F974BB" w:rsidP="00695A3D">
            <w:pPr>
              <w:pStyle w:val="EnvelopeReturn"/>
              <w:rPr>
                <w:rFonts w:ascii="Times New Roman" w:hAnsi="Times New Roman"/>
              </w:rPr>
            </w:pPr>
          </w:p>
          <w:p w:rsidR="00F974BB" w:rsidRPr="000660E4" w:rsidRDefault="00F974BB" w:rsidP="00695A3D">
            <w:pPr>
              <w:pStyle w:val="EnvelopeReturn"/>
              <w:rPr>
                <w:rFonts w:cs="Arial"/>
              </w:rPr>
            </w:pPr>
            <w:r w:rsidRPr="000660E4">
              <w:rPr>
                <w:rFonts w:cs="Arial"/>
              </w:rPr>
              <w:t>Detailed information about assignments can be found in the NURS 3056 course syllabus.</w:t>
            </w:r>
          </w:p>
          <w:p w:rsidR="00F974BB" w:rsidRPr="000660E4" w:rsidRDefault="00F974BB" w:rsidP="00695A3D">
            <w:pPr>
              <w:pStyle w:val="EnvelopeReturn"/>
              <w:rPr>
                <w:rFonts w:cs="Arial"/>
              </w:rPr>
            </w:pPr>
          </w:p>
          <w:p w:rsidR="00F974BB" w:rsidRPr="003C2F90" w:rsidRDefault="00F974BB" w:rsidP="003C2F90">
            <w:pPr>
              <w:widowControl w:val="0"/>
              <w:rPr>
                <w:bCs/>
              </w:rPr>
            </w:pPr>
            <w:r>
              <w:rPr>
                <w:bCs/>
              </w:rPr>
              <w:t>The school policy on written assignments applies to all assignments (</w:t>
            </w:r>
            <w:r>
              <w:rPr>
                <w:bCs/>
                <w:i/>
              </w:rPr>
              <w:t>see</w:t>
            </w:r>
            <w:r>
              <w:rPr>
                <w:bCs/>
              </w:rPr>
              <w:t xml:space="preserve"> </w:t>
            </w:r>
            <w:r>
              <w:rPr>
                <w:bCs/>
                <w:i/>
                <w:iCs/>
              </w:rPr>
              <w:t>Student Manual</w:t>
            </w:r>
            <w:r>
              <w:rPr>
                <w:bCs/>
              </w:rPr>
              <w:t xml:space="preserve">).  </w:t>
            </w:r>
            <w:smartTag w:uri="urn:schemas-microsoft-com:office:smarttags" w:element="stockticker">
              <w:r>
                <w:rPr>
                  <w:bCs/>
                </w:rPr>
                <w:t>APA</w:t>
              </w:r>
            </w:smartTag>
            <w:r>
              <w:rPr>
                <w:bCs/>
              </w:rPr>
              <w:t xml:space="preserve"> format is required unless specifically stated otherwise. Those not submitted by the due date and time will not be accepted. </w:t>
            </w:r>
            <w:r>
              <w:rPr>
                <w:bCs/>
                <w:i/>
              </w:rPr>
              <w:t>Extensions will not be granted on the day that the assignment is due.</w:t>
            </w:r>
          </w:p>
        </w:tc>
      </w:tr>
    </w:tbl>
    <w:p w:rsidR="003C2F90" w:rsidRDefault="003C2F90">
      <w:r>
        <w:br w:type="page"/>
      </w:r>
    </w:p>
    <w:p w:rsidR="00F974BB" w:rsidRDefault="00F974BB" w:rsidP="00F974BB"/>
    <w:tbl>
      <w:tblPr>
        <w:tblW w:w="0" w:type="auto"/>
        <w:tblLayout w:type="fixed"/>
        <w:tblLook w:val="0000"/>
      </w:tblPr>
      <w:tblGrid>
        <w:gridCol w:w="675"/>
        <w:gridCol w:w="1701"/>
        <w:gridCol w:w="4678"/>
        <w:gridCol w:w="1802"/>
      </w:tblGrid>
      <w:tr w:rsidR="00F974BB" w:rsidTr="00695A3D">
        <w:trPr>
          <w:cantSplit/>
        </w:trPr>
        <w:tc>
          <w:tcPr>
            <w:tcW w:w="675" w:type="dxa"/>
          </w:tcPr>
          <w:p w:rsidR="00F974BB" w:rsidRDefault="00F974BB" w:rsidP="00695A3D">
            <w:pPr>
              <w:pStyle w:val="EnvelopeReturn"/>
              <w:rPr>
                <w:rFonts w:ascii="Times New Roman" w:hAnsi="Times New Roman"/>
              </w:rPr>
            </w:pPr>
          </w:p>
        </w:tc>
        <w:tc>
          <w:tcPr>
            <w:tcW w:w="8181" w:type="dxa"/>
            <w:gridSpan w:val="3"/>
          </w:tcPr>
          <w:p w:rsidR="00F974BB" w:rsidRDefault="00F974BB" w:rsidP="003C2F90">
            <w:r>
              <w:t>The following semester grades will be assigned to students:</w:t>
            </w:r>
          </w:p>
        </w:tc>
      </w:tr>
      <w:tr w:rsidR="00F974BB" w:rsidRPr="003C2F90" w:rsidTr="00695A3D">
        <w:tc>
          <w:tcPr>
            <w:tcW w:w="675" w:type="dxa"/>
          </w:tcPr>
          <w:p w:rsidR="00F974BB" w:rsidRPr="003C2F90" w:rsidRDefault="00F974BB" w:rsidP="00695A3D">
            <w:pPr>
              <w:rPr>
                <w:rFonts w:cs="Arial"/>
              </w:rPr>
            </w:pPr>
          </w:p>
        </w:tc>
        <w:tc>
          <w:tcPr>
            <w:tcW w:w="1701" w:type="dxa"/>
          </w:tcPr>
          <w:p w:rsidR="00F974BB" w:rsidRPr="003C2F90" w:rsidRDefault="00F974BB" w:rsidP="00695A3D">
            <w:pPr>
              <w:jc w:val="center"/>
              <w:rPr>
                <w:rFonts w:cs="Arial"/>
              </w:rPr>
            </w:pPr>
          </w:p>
          <w:p w:rsidR="00F974BB" w:rsidRPr="003C2F90" w:rsidRDefault="00F974BB" w:rsidP="00695A3D">
            <w:pPr>
              <w:pStyle w:val="Heading2"/>
              <w:rPr>
                <w:rFonts w:ascii="Arial" w:hAnsi="Arial" w:cs="Arial"/>
                <w:b w:val="0"/>
                <w:szCs w:val="24"/>
                <w:u w:val="single"/>
              </w:rPr>
            </w:pPr>
            <w:r w:rsidRPr="003C2F90">
              <w:rPr>
                <w:rFonts w:ascii="Arial" w:hAnsi="Arial" w:cs="Arial"/>
                <w:b w:val="0"/>
                <w:szCs w:val="24"/>
                <w:u w:val="single"/>
              </w:rPr>
              <w:t>Grade</w:t>
            </w:r>
          </w:p>
        </w:tc>
        <w:tc>
          <w:tcPr>
            <w:tcW w:w="4678" w:type="dxa"/>
          </w:tcPr>
          <w:p w:rsidR="00F974BB" w:rsidRPr="003C2F90" w:rsidRDefault="00F974BB" w:rsidP="00695A3D">
            <w:pPr>
              <w:jc w:val="center"/>
              <w:rPr>
                <w:rFonts w:cs="Arial"/>
              </w:rPr>
            </w:pPr>
          </w:p>
          <w:p w:rsidR="00F974BB" w:rsidRPr="003C2F90" w:rsidRDefault="00F974BB" w:rsidP="00695A3D">
            <w:pPr>
              <w:pStyle w:val="Heading1"/>
              <w:rPr>
                <w:rFonts w:ascii="Arial" w:hAnsi="Arial" w:cs="Arial"/>
                <w:b w:val="0"/>
                <w:szCs w:val="24"/>
              </w:rPr>
            </w:pPr>
            <w:r w:rsidRPr="003C2F90">
              <w:rPr>
                <w:rFonts w:ascii="Arial" w:hAnsi="Arial" w:cs="Arial"/>
                <w:b w:val="0"/>
                <w:szCs w:val="24"/>
              </w:rPr>
              <w:t>Definition</w:t>
            </w:r>
          </w:p>
        </w:tc>
        <w:tc>
          <w:tcPr>
            <w:tcW w:w="1802" w:type="dxa"/>
          </w:tcPr>
          <w:p w:rsidR="00F974BB" w:rsidRPr="003C2F90" w:rsidRDefault="00F974BB" w:rsidP="00695A3D">
            <w:pPr>
              <w:pStyle w:val="BodyText"/>
              <w:rPr>
                <w:sz w:val="24"/>
                <w:szCs w:val="24"/>
              </w:rPr>
            </w:pPr>
            <w:r w:rsidRPr="003C2F90">
              <w:rPr>
                <w:sz w:val="24"/>
                <w:szCs w:val="24"/>
              </w:rPr>
              <w:t xml:space="preserve">Grade Point </w:t>
            </w:r>
            <w:r w:rsidRPr="003C2F90">
              <w:rPr>
                <w:sz w:val="24"/>
                <w:szCs w:val="24"/>
                <w:u w:val="single"/>
              </w:rPr>
              <w:t>Equivalent</w:t>
            </w:r>
          </w:p>
          <w:p w:rsidR="00F974BB" w:rsidRPr="003C2F90" w:rsidRDefault="00F974BB" w:rsidP="00695A3D">
            <w:pPr>
              <w:jc w:val="center"/>
              <w:rPr>
                <w:rFonts w:cs="Arial"/>
              </w:rPr>
            </w:pPr>
          </w:p>
        </w:tc>
      </w:tr>
      <w:tr w:rsidR="00F974BB" w:rsidTr="00695A3D">
        <w:trPr>
          <w:cantSplit/>
        </w:trPr>
        <w:tc>
          <w:tcPr>
            <w:tcW w:w="675" w:type="dxa"/>
          </w:tcPr>
          <w:p w:rsidR="00F974BB" w:rsidRPr="003C2F90" w:rsidRDefault="00F974BB" w:rsidP="00695A3D"/>
        </w:tc>
        <w:tc>
          <w:tcPr>
            <w:tcW w:w="1701" w:type="dxa"/>
          </w:tcPr>
          <w:p w:rsidR="00F974BB" w:rsidRPr="003C2F90" w:rsidRDefault="00F974BB" w:rsidP="00695A3D">
            <w:r w:rsidRPr="003C2F90">
              <w:t>A+</w:t>
            </w:r>
          </w:p>
        </w:tc>
        <w:tc>
          <w:tcPr>
            <w:tcW w:w="4678" w:type="dxa"/>
          </w:tcPr>
          <w:p w:rsidR="00F974BB" w:rsidRPr="003C2F90" w:rsidRDefault="00F974BB" w:rsidP="00695A3D">
            <w:pPr>
              <w:jc w:val="center"/>
            </w:pPr>
            <w:r w:rsidRPr="003C2F90">
              <w:t>90 – 100%</w:t>
            </w:r>
          </w:p>
        </w:tc>
        <w:tc>
          <w:tcPr>
            <w:tcW w:w="1802" w:type="dxa"/>
            <w:vMerge w:val="restart"/>
            <w:vAlign w:val="center"/>
          </w:tcPr>
          <w:p w:rsidR="00F974BB" w:rsidRPr="003C2F90" w:rsidRDefault="00F974BB" w:rsidP="00695A3D">
            <w:pPr>
              <w:jc w:val="center"/>
            </w:pPr>
            <w:r w:rsidRPr="003C2F90">
              <w:t>4.00</w:t>
            </w:r>
          </w:p>
        </w:tc>
      </w:tr>
      <w:tr w:rsidR="00F974BB" w:rsidTr="00695A3D">
        <w:trPr>
          <w:cantSplit/>
        </w:trPr>
        <w:tc>
          <w:tcPr>
            <w:tcW w:w="675" w:type="dxa"/>
          </w:tcPr>
          <w:p w:rsidR="00F974BB" w:rsidRPr="003C2F90" w:rsidRDefault="00F974BB" w:rsidP="00695A3D"/>
        </w:tc>
        <w:tc>
          <w:tcPr>
            <w:tcW w:w="1701" w:type="dxa"/>
          </w:tcPr>
          <w:p w:rsidR="00F974BB" w:rsidRPr="003C2F90" w:rsidRDefault="00F974BB" w:rsidP="00695A3D">
            <w:r w:rsidRPr="003C2F90">
              <w:t>A</w:t>
            </w:r>
          </w:p>
        </w:tc>
        <w:tc>
          <w:tcPr>
            <w:tcW w:w="4678" w:type="dxa"/>
          </w:tcPr>
          <w:p w:rsidR="00F974BB" w:rsidRPr="003C2F90" w:rsidRDefault="00F974BB" w:rsidP="00695A3D">
            <w:pPr>
              <w:jc w:val="center"/>
            </w:pPr>
            <w:r w:rsidRPr="003C2F90">
              <w:t>80 – 89%</w:t>
            </w:r>
          </w:p>
        </w:tc>
        <w:tc>
          <w:tcPr>
            <w:tcW w:w="1802" w:type="dxa"/>
            <w:vMerge/>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B</w:t>
            </w:r>
          </w:p>
        </w:tc>
        <w:tc>
          <w:tcPr>
            <w:tcW w:w="4678" w:type="dxa"/>
          </w:tcPr>
          <w:p w:rsidR="00F974BB" w:rsidRPr="003C2F90" w:rsidRDefault="00F974BB" w:rsidP="00695A3D">
            <w:pPr>
              <w:jc w:val="center"/>
            </w:pPr>
            <w:r w:rsidRPr="003C2F90">
              <w:t>70 - 79%</w:t>
            </w:r>
          </w:p>
        </w:tc>
        <w:tc>
          <w:tcPr>
            <w:tcW w:w="1802" w:type="dxa"/>
          </w:tcPr>
          <w:p w:rsidR="00F974BB" w:rsidRPr="003C2F90" w:rsidRDefault="00F974BB" w:rsidP="00695A3D">
            <w:pPr>
              <w:jc w:val="center"/>
            </w:pPr>
            <w:r w:rsidRPr="003C2F90">
              <w:t>3.00</w:t>
            </w: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C</w:t>
            </w:r>
          </w:p>
        </w:tc>
        <w:tc>
          <w:tcPr>
            <w:tcW w:w="4678" w:type="dxa"/>
          </w:tcPr>
          <w:p w:rsidR="00F974BB" w:rsidRPr="003C2F90" w:rsidRDefault="00F974BB" w:rsidP="00695A3D">
            <w:pPr>
              <w:jc w:val="center"/>
            </w:pPr>
            <w:r w:rsidRPr="003C2F90">
              <w:t>60 - 69%</w:t>
            </w:r>
          </w:p>
        </w:tc>
        <w:tc>
          <w:tcPr>
            <w:tcW w:w="1802" w:type="dxa"/>
          </w:tcPr>
          <w:p w:rsidR="00F974BB" w:rsidRPr="003C2F90" w:rsidRDefault="00F974BB" w:rsidP="00695A3D">
            <w:pPr>
              <w:jc w:val="center"/>
            </w:pPr>
            <w:r w:rsidRPr="003C2F90">
              <w:t>2.00</w:t>
            </w: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D</w:t>
            </w:r>
          </w:p>
        </w:tc>
        <w:tc>
          <w:tcPr>
            <w:tcW w:w="4678" w:type="dxa"/>
          </w:tcPr>
          <w:p w:rsidR="00F974BB" w:rsidRPr="003C2F90" w:rsidRDefault="00F974BB" w:rsidP="00695A3D">
            <w:pPr>
              <w:jc w:val="center"/>
            </w:pPr>
            <w:r w:rsidRPr="003C2F90">
              <w:t>50 – 59%</w:t>
            </w:r>
          </w:p>
        </w:tc>
        <w:tc>
          <w:tcPr>
            <w:tcW w:w="1802" w:type="dxa"/>
          </w:tcPr>
          <w:p w:rsidR="00F974BB" w:rsidRPr="003C2F90" w:rsidRDefault="00F974BB" w:rsidP="00695A3D">
            <w:pPr>
              <w:jc w:val="center"/>
            </w:pPr>
            <w:r w:rsidRPr="003C2F90">
              <w:t>1.00</w:t>
            </w: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F (Fail)</w:t>
            </w:r>
          </w:p>
        </w:tc>
        <w:tc>
          <w:tcPr>
            <w:tcW w:w="4678" w:type="dxa"/>
          </w:tcPr>
          <w:p w:rsidR="00F974BB" w:rsidRPr="003C2F90" w:rsidRDefault="00F974BB" w:rsidP="00695A3D">
            <w:pPr>
              <w:jc w:val="center"/>
            </w:pPr>
            <w:r w:rsidRPr="003C2F90">
              <w:t>49% and below</w:t>
            </w:r>
          </w:p>
        </w:tc>
        <w:tc>
          <w:tcPr>
            <w:tcW w:w="1802" w:type="dxa"/>
          </w:tcPr>
          <w:p w:rsidR="00F974BB" w:rsidRPr="003C2F90" w:rsidRDefault="00F974BB" w:rsidP="00695A3D">
            <w:pPr>
              <w:jc w:val="center"/>
            </w:pPr>
            <w:r w:rsidRPr="003C2F90">
              <w:t>0.00</w:t>
            </w:r>
          </w:p>
        </w:tc>
      </w:tr>
      <w:tr w:rsidR="00F974BB" w:rsidTr="00695A3D">
        <w:tc>
          <w:tcPr>
            <w:tcW w:w="675" w:type="dxa"/>
          </w:tcPr>
          <w:p w:rsidR="00F974BB" w:rsidRPr="003C2F90" w:rsidRDefault="00F974BB" w:rsidP="00695A3D"/>
        </w:tc>
        <w:tc>
          <w:tcPr>
            <w:tcW w:w="1701" w:type="dxa"/>
          </w:tcPr>
          <w:p w:rsidR="00F974BB" w:rsidRPr="003C2F90" w:rsidRDefault="00F974BB" w:rsidP="00695A3D"/>
        </w:tc>
        <w:tc>
          <w:tcPr>
            <w:tcW w:w="4678" w:type="dxa"/>
          </w:tcPr>
          <w:p w:rsidR="00F974BB" w:rsidRPr="003C2F90" w:rsidRDefault="00F974BB" w:rsidP="00695A3D"/>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CR (Credit)</w:t>
            </w:r>
          </w:p>
        </w:tc>
        <w:tc>
          <w:tcPr>
            <w:tcW w:w="4678" w:type="dxa"/>
          </w:tcPr>
          <w:p w:rsidR="00F974BB" w:rsidRPr="003C2F90" w:rsidRDefault="00F974BB" w:rsidP="00695A3D">
            <w:r w:rsidRPr="003C2F90">
              <w:t>Credit for diploma requirements has been awarded.</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S</w:t>
            </w:r>
          </w:p>
        </w:tc>
        <w:tc>
          <w:tcPr>
            <w:tcW w:w="4678" w:type="dxa"/>
          </w:tcPr>
          <w:p w:rsidR="00F974BB" w:rsidRPr="003C2F90" w:rsidRDefault="00F974BB" w:rsidP="00695A3D">
            <w:r w:rsidRPr="003C2F90">
              <w:t>Satisfactory achievement in field /clinical placement or non-graded subject area.</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U</w:t>
            </w:r>
          </w:p>
        </w:tc>
        <w:tc>
          <w:tcPr>
            <w:tcW w:w="4678" w:type="dxa"/>
          </w:tcPr>
          <w:p w:rsidR="00F974BB" w:rsidRPr="003C2F90" w:rsidRDefault="00F974BB" w:rsidP="00695A3D">
            <w:r w:rsidRPr="003C2F90">
              <w:t>Unsatisfactory achievement in field/clinical placement or non-graded subject area.</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X</w:t>
            </w:r>
          </w:p>
        </w:tc>
        <w:tc>
          <w:tcPr>
            <w:tcW w:w="4678" w:type="dxa"/>
          </w:tcPr>
          <w:p w:rsidR="00F974BB" w:rsidRPr="003C2F90" w:rsidRDefault="00F974BB" w:rsidP="00695A3D">
            <w:r w:rsidRPr="003C2F90">
              <w:t>A temporary grade limited to situations with extenuating circumstances giving a student additional time to complete the requirements for a course.</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NR</w:t>
            </w:r>
          </w:p>
        </w:tc>
        <w:tc>
          <w:tcPr>
            <w:tcW w:w="4678" w:type="dxa"/>
          </w:tcPr>
          <w:p w:rsidR="00F974BB" w:rsidRPr="003C2F90" w:rsidRDefault="00F974BB" w:rsidP="00695A3D">
            <w:r w:rsidRPr="003C2F90">
              <w:t xml:space="preserve">Grade not reported to Registrar's office.  </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r w:rsidRPr="003C2F90">
              <w:t>W</w:t>
            </w:r>
          </w:p>
        </w:tc>
        <w:tc>
          <w:tcPr>
            <w:tcW w:w="4678" w:type="dxa"/>
          </w:tcPr>
          <w:p w:rsidR="00F974BB" w:rsidRPr="003C2F90" w:rsidRDefault="00F974BB" w:rsidP="00695A3D">
            <w:r w:rsidRPr="003C2F90">
              <w:t>Student has withdrawn from the course without academic penalty.</w:t>
            </w:r>
          </w:p>
        </w:tc>
        <w:tc>
          <w:tcPr>
            <w:tcW w:w="1802" w:type="dxa"/>
          </w:tcPr>
          <w:p w:rsidR="00F974BB" w:rsidRPr="003C2F90" w:rsidRDefault="00F974BB" w:rsidP="00695A3D">
            <w:pPr>
              <w:jc w:val="center"/>
            </w:pPr>
          </w:p>
        </w:tc>
      </w:tr>
      <w:tr w:rsidR="00F974BB" w:rsidTr="00695A3D">
        <w:tc>
          <w:tcPr>
            <w:tcW w:w="675" w:type="dxa"/>
          </w:tcPr>
          <w:p w:rsidR="00F974BB" w:rsidRPr="003C2F90" w:rsidRDefault="00F974BB" w:rsidP="00695A3D"/>
        </w:tc>
        <w:tc>
          <w:tcPr>
            <w:tcW w:w="1701" w:type="dxa"/>
          </w:tcPr>
          <w:p w:rsidR="00F974BB" w:rsidRPr="003C2F90" w:rsidRDefault="00F974BB" w:rsidP="00695A3D"/>
        </w:tc>
        <w:tc>
          <w:tcPr>
            <w:tcW w:w="4678" w:type="dxa"/>
          </w:tcPr>
          <w:p w:rsidR="00F974BB" w:rsidRPr="003C2F90" w:rsidRDefault="00F974BB" w:rsidP="00695A3D"/>
        </w:tc>
        <w:tc>
          <w:tcPr>
            <w:tcW w:w="1802" w:type="dxa"/>
          </w:tcPr>
          <w:p w:rsidR="00F974BB" w:rsidRPr="003C2F90" w:rsidRDefault="00F974BB" w:rsidP="00695A3D">
            <w:pPr>
              <w:jc w:val="center"/>
            </w:pPr>
          </w:p>
        </w:tc>
      </w:tr>
      <w:tr w:rsidR="00F974BB" w:rsidTr="00695A3D">
        <w:trPr>
          <w:cantSplit/>
        </w:trPr>
        <w:tc>
          <w:tcPr>
            <w:tcW w:w="675" w:type="dxa"/>
          </w:tcPr>
          <w:p w:rsidR="00F974BB" w:rsidRPr="003C2F90" w:rsidRDefault="00F974BB" w:rsidP="00695A3D"/>
        </w:tc>
        <w:tc>
          <w:tcPr>
            <w:tcW w:w="8181" w:type="dxa"/>
            <w:gridSpan w:val="3"/>
          </w:tcPr>
          <w:p w:rsidR="00F974BB" w:rsidRPr="003C2F90" w:rsidRDefault="00F974BB" w:rsidP="00695A3D">
            <w:pPr>
              <w:rPr>
                <w:rFonts w:cs="Arial"/>
                <w:b/>
                <w:bCs/>
              </w:rPr>
            </w:pPr>
            <w:r w:rsidRPr="003C2F90">
              <w:rPr>
                <w:rFonts w:cs="Arial"/>
                <w:b/>
                <w:bCs/>
              </w:rPr>
              <w:t xml:space="preserve">NOTE:  </w:t>
            </w:r>
          </w:p>
          <w:p w:rsidR="00F974BB" w:rsidRPr="003C2F90" w:rsidRDefault="00F974BB" w:rsidP="00695A3D">
            <w:pPr>
              <w:rPr>
                <w:rFonts w:cs="Arial"/>
              </w:rPr>
            </w:pPr>
            <w:r w:rsidRPr="003C2F90">
              <w:rPr>
                <w:rFonts w:cs="Arial"/>
              </w:rPr>
              <w:t>For such reasons as program certification or program articulation, certain courses require minimums of greater than 50% and/or have mandatory components to achieve a passing grade.</w:t>
            </w:r>
          </w:p>
          <w:p w:rsidR="00F974BB" w:rsidRPr="003C2F90" w:rsidRDefault="00F974BB" w:rsidP="00695A3D">
            <w:pPr>
              <w:rPr>
                <w:rFonts w:cs="Arial"/>
              </w:rPr>
            </w:pPr>
          </w:p>
          <w:p w:rsidR="00F974BB" w:rsidRPr="003C2F90" w:rsidRDefault="00F974BB" w:rsidP="00695A3D">
            <w:pPr>
              <w:pStyle w:val="BodyText2"/>
              <w:rPr>
                <w:sz w:val="24"/>
                <w:szCs w:val="24"/>
              </w:rPr>
            </w:pPr>
            <w:r w:rsidRPr="003C2F90">
              <w:rPr>
                <w:sz w:val="24"/>
                <w:szCs w:val="24"/>
              </w:rPr>
              <w:t xml:space="preserve">It is also important to note, that the minimum overall GPA required in order </w:t>
            </w:r>
            <w:proofErr w:type="gramStart"/>
            <w:r w:rsidRPr="003C2F90">
              <w:rPr>
                <w:sz w:val="24"/>
                <w:szCs w:val="24"/>
              </w:rPr>
              <w:t>to graduate</w:t>
            </w:r>
            <w:proofErr w:type="gramEnd"/>
            <w:r w:rsidRPr="003C2F90">
              <w:rPr>
                <w:sz w:val="24"/>
                <w:szCs w:val="24"/>
              </w:rPr>
              <w:t xml:space="preserve"> from a Sault College program remains 2.0.</w:t>
            </w:r>
          </w:p>
          <w:p w:rsidR="00F974BB" w:rsidRPr="003C2F90" w:rsidRDefault="00F974BB" w:rsidP="00695A3D">
            <w:pPr>
              <w:rPr>
                <w:rFonts w:cs="Arial"/>
              </w:rPr>
            </w:pPr>
          </w:p>
          <w:p w:rsidR="00F974BB" w:rsidRPr="003C2F90" w:rsidRDefault="00F974BB" w:rsidP="00695A3D">
            <w:pPr>
              <w:rPr>
                <w:rFonts w:cs="Arial"/>
              </w:rPr>
            </w:pPr>
            <w:r w:rsidRPr="003C2F90">
              <w:rPr>
                <w:rFonts w:cs="Arial"/>
              </w:rPr>
              <w:t xml:space="preserve">All </w:t>
            </w:r>
            <w:r w:rsidRPr="003C2F90">
              <w:rPr>
                <w:rFonts w:cs="Arial"/>
                <w:u w:val="single"/>
              </w:rPr>
              <w:t>NURS</w:t>
            </w:r>
            <w:r w:rsidRPr="003C2F90">
              <w:rPr>
                <w:rFonts w:cs="Arial"/>
              </w:rPr>
              <w:t xml:space="preserve"> courses require 60% for a passing grade.</w:t>
            </w:r>
            <w:r w:rsidR="00190EBA" w:rsidRPr="003C2F90">
              <w:rPr>
                <w:rFonts w:cs="Arial"/>
              </w:rPr>
              <w:t xml:space="preserve"> </w:t>
            </w:r>
          </w:p>
          <w:p w:rsidR="00190EBA" w:rsidRPr="003C2F90" w:rsidRDefault="00190EBA" w:rsidP="00695A3D">
            <w:pPr>
              <w:rPr>
                <w:rFonts w:cs="Arial"/>
              </w:rPr>
            </w:pPr>
          </w:p>
          <w:p w:rsidR="00F974BB" w:rsidRPr="003C2F90" w:rsidRDefault="00190EBA" w:rsidP="00695A3D">
            <w:pPr>
              <w:rPr>
                <w:rFonts w:cs="Arial"/>
              </w:rPr>
            </w:pPr>
            <w:r w:rsidRPr="003C2F90">
              <w:rPr>
                <w:rFonts w:cs="Arial"/>
                <w:u w:val="single"/>
              </w:rPr>
              <w:t>E</w:t>
            </w:r>
            <w:r w:rsidR="00F974BB" w:rsidRPr="003C2F90">
              <w:rPr>
                <w:rFonts w:cs="Arial"/>
                <w:u w:val="single"/>
              </w:rPr>
              <w:t>lective</w:t>
            </w:r>
            <w:r w:rsidR="00F974BB" w:rsidRPr="003C2F90">
              <w:rPr>
                <w:rFonts w:cs="Arial"/>
              </w:rPr>
              <w:t xml:space="preserve"> </w:t>
            </w:r>
            <w:r w:rsidR="00F974BB" w:rsidRPr="003C2F90">
              <w:rPr>
                <w:rFonts w:cs="Arial"/>
                <w:u w:val="single"/>
              </w:rPr>
              <w:t>courses</w:t>
            </w:r>
            <w:r w:rsidR="00F974BB" w:rsidRPr="003C2F90">
              <w:rPr>
                <w:rFonts w:cs="Arial"/>
              </w:rPr>
              <w:t xml:space="preserve"> require 50% for a passing grade.</w:t>
            </w:r>
          </w:p>
          <w:p w:rsidR="00F936AB" w:rsidRPr="003C2F90" w:rsidRDefault="00F936AB" w:rsidP="00695A3D">
            <w:pPr>
              <w:rPr>
                <w:rFonts w:cs="Arial"/>
              </w:rPr>
            </w:pPr>
          </w:p>
          <w:p w:rsidR="002654D6" w:rsidRPr="00142C18" w:rsidRDefault="002654D6" w:rsidP="002654D6">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974BB" w:rsidRPr="003C2F90" w:rsidRDefault="00F974BB" w:rsidP="002654D6">
            <w:pPr>
              <w:rPr>
                <w:rFonts w:cs="Arial"/>
              </w:rPr>
            </w:pPr>
          </w:p>
        </w:tc>
      </w:tr>
    </w:tbl>
    <w:p w:rsidR="002654D6" w:rsidRDefault="002654D6" w:rsidP="00F974BB"/>
    <w:p w:rsidR="002654D6" w:rsidRDefault="002654D6">
      <w:r>
        <w:br w:type="page"/>
      </w:r>
    </w:p>
    <w:tbl>
      <w:tblPr>
        <w:tblW w:w="0" w:type="auto"/>
        <w:tblLayout w:type="fixed"/>
        <w:tblLook w:val="0000"/>
      </w:tblPr>
      <w:tblGrid>
        <w:gridCol w:w="675"/>
        <w:gridCol w:w="8163"/>
        <w:gridCol w:w="18"/>
      </w:tblGrid>
      <w:tr w:rsidR="00190EBA" w:rsidTr="00695A3D">
        <w:trPr>
          <w:cantSplit/>
        </w:trPr>
        <w:tc>
          <w:tcPr>
            <w:tcW w:w="675" w:type="dxa"/>
          </w:tcPr>
          <w:p w:rsidR="00190EBA" w:rsidRDefault="00190EBA" w:rsidP="00695A3D">
            <w:pPr>
              <w:rPr>
                <w:b/>
              </w:rPr>
            </w:pPr>
            <w:r>
              <w:rPr>
                <w:b/>
              </w:rPr>
              <w:lastRenderedPageBreak/>
              <w:t>VI.</w:t>
            </w:r>
          </w:p>
        </w:tc>
        <w:tc>
          <w:tcPr>
            <w:tcW w:w="8181" w:type="dxa"/>
            <w:gridSpan w:val="2"/>
          </w:tcPr>
          <w:p w:rsidR="00190EBA" w:rsidRDefault="00190EBA" w:rsidP="00695A3D">
            <w:pPr>
              <w:rPr>
                <w:b/>
              </w:rPr>
            </w:pPr>
            <w:r>
              <w:rPr>
                <w:b/>
              </w:rPr>
              <w:t>SPECIAL NOTES:</w:t>
            </w:r>
          </w:p>
          <w:p w:rsidR="00190EBA" w:rsidRDefault="00190EBA" w:rsidP="00695A3D"/>
        </w:tc>
      </w:tr>
      <w:tr w:rsidR="00190EBA" w:rsidTr="00695A3D">
        <w:trPr>
          <w:gridAfter w:val="1"/>
          <w:wAfter w:w="18" w:type="dxa"/>
          <w:cantSplit/>
        </w:trPr>
        <w:tc>
          <w:tcPr>
            <w:tcW w:w="8838" w:type="dxa"/>
            <w:gridSpan w:val="2"/>
          </w:tcPr>
          <w:p w:rsidR="00190EBA" w:rsidRDefault="00190EBA" w:rsidP="00695A3D">
            <w:r>
              <w:rPr>
                <w:u w:val="single"/>
              </w:rPr>
              <w:t>Course Outline Amendments</w:t>
            </w:r>
            <w:r>
              <w:t>:</w:t>
            </w:r>
          </w:p>
          <w:p w:rsidR="00190EBA" w:rsidRDefault="00190EBA" w:rsidP="00695A3D">
            <w:r>
              <w:t>The professor reserves the right to change the information contained in this course outline depending on the needs of the learner and the availability of resources.</w:t>
            </w:r>
          </w:p>
          <w:p w:rsidR="00190EBA" w:rsidRDefault="00190EBA" w:rsidP="00695A3D">
            <w:pPr>
              <w:rPr>
                <w:u w:val="single"/>
              </w:rPr>
            </w:pPr>
          </w:p>
        </w:tc>
      </w:tr>
      <w:tr w:rsidR="00190EBA" w:rsidTr="00695A3D">
        <w:trPr>
          <w:gridAfter w:val="1"/>
          <w:wAfter w:w="18" w:type="dxa"/>
          <w:cantSplit/>
        </w:trPr>
        <w:tc>
          <w:tcPr>
            <w:tcW w:w="8838" w:type="dxa"/>
            <w:gridSpan w:val="2"/>
          </w:tcPr>
          <w:p w:rsidR="00190EBA" w:rsidRDefault="00190EBA" w:rsidP="00695A3D">
            <w:r>
              <w:rPr>
                <w:u w:val="single"/>
              </w:rPr>
              <w:t>Retention of Course Outlines</w:t>
            </w:r>
            <w:r>
              <w:t>:</w:t>
            </w:r>
          </w:p>
          <w:p w:rsidR="00190EBA" w:rsidRDefault="00190EBA" w:rsidP="00695A3D">
            <w:r>
              <w:t>It is the responsibility of the student to retain all course outlines for possible future use in acquiring advanced standing at other postsecondary institutions.</w:t>
            </w:r>
          </w:p>
          <w:p w:rsidR="00190EBA" w:rsidRDefault="00190EBA" w:rsidP="00695A3D">
            <w:pPr>
              <w:rPr>
                <w:u w:val="single"/>
              </w:rPr>
            </w:pPr>
          </w:p>
        </w:tc>
      </w:tr>
      <w:tr w:rsidR="00190EBA" w:rsidTr="00695A3D">
        <w:trPr>
          <w:gridAfter w:val="1"/>
          <w:wAfter w:w="18" w:type="dxa"/>
          <w:cantSplit/>
        </w:trPr>
        <w:tc>
          <w:tcPr>
            <w:tcW w:w="8838" w:type="dxa"/>
            <w:gridSpan w:val="2"/>
          </w:tcPr>
          <w:p w:rsidR="00190EBA" w:rsidRDefault="00190EBA" w:rsidP="00695A3D">
            <w:pPr>
              <w:rPr>
                <w:b/>
              </w:rPr>
            </w:pPr>
            <w:r w:rsidRPr="00173273">
              <w:rPr>
                <w:u w:val="single"/>
              </w:rPr>
              <w:t>Prior Learning Assessment</w:t>
            </w:r>
            <w:r>
              <w:rPr>
                <w:b/>
              </w:rPr>
              <w:t>:</w:t>
            </w:r>
          </w:p>
          <w:p w:rsidR="00190EBA" w:rsidRPr="00190EBA" w:rsidRDefault="00190EBA" w:rsidP="00695A3D">
            <w:pPr>
              <w:rPr>
                <w:rFonts w:cs="Arial"/>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90EBA">
              <w:rPr>
                <w:rFonts w:cs="Arial"/>
              </w:rPr>
              <w:t>Please refer to the Student Academic Calendar of Events for the deadline date by which application must be made for advance standing.</w:t>
            </w:r>
          </w:p>
          <w:p w:rsidR="00190EBA" w:rsidRDefault="00190EBA" w:rsidP="00695A3D"/>
          <w:p w:rsidR="00190EBA" w:rsidRDefault="00190EBA" w:rsidP="00695A3D">
            <w:r>
              <w:t>Substitute course information is available in the Registrar's office.</w:t>
            </w:r>
          </w:p>
          <w:p w:rsidR="00190EBA" w:rsidRDefault="00190EBA" w:rsidP="00695A3D">
            <w:pPr>
              <w:rPr>
                <w:u w:val="single"/>
              </w:rPr>
            </w:pPr>
          </w:p>
        </w:tc>
      </w:tr>
      <w:tr w:rsidR="00190EBA" w:rsidTr="00695A3D">
        <w:trPr>
          <w:gridAfter w:val="1"/>
          <w:wAfter w:w="18" w:type="dxa"/>
          <w:cantSplit/>
        </w:trPr>
        <w:tc>
          <w:tcPr>
            <w:tcW w:w="8838" w:type="dxa"/>
            <w:gridSpan w:val="2"/>
          </w:tcPr>
          <w:p w:rsidR="00190EBA" w:rsidRDefault="00190EBA" w:rsidP="00695A3D">
            <w:r>
              <w:rPr>
                <w:u w:val="single"/>
              </w:rPr>
              <w:t>Disability Services</w:t>
            </w:r>
            <w:r>
              <w:t>:</w:t>
            </w:r>
          </w:p>
          <w:p w:rsidR="00190EBA" w:rsidRDefault="00190EBA" w:rsidP="00695A3D">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90EBA" w:rsidRDefault="00190EBA" w:rsidP="00695A3D"/>
        </w:tc>
      </w:tr>
      <w:tr w:rsidR="00190EBA" w:rsidTr="00695A3D">
        <w:trPr>
          <w:gridAfter w:val="1"/>
          <w:wAfter w:w="18" w:type="dxa"/>
          <w:cantSplit/>
        </w:trPr>
        <w:tc>
          <w:tcPr>
            <w:tcW w:w="8838" w:type="dxa"/>
            <w:gridSpan w:val="2"/>
          </w:tcPr>
          <w:p w:rsidR="00190EBA" w:rsidRPr="00B835FC" w:rsidRDefault="00190EBA" w:rsidP="00695A3D">
            <w:pPr>
              <w:rPr>
                <w:u w:val="single"/>
              </w:rPr>
            </w:pPr>
            <w:r w:rsidRPr="00B835FC">
              <w:rPr>
                <w:u w:val="single"/>
              </w:rPr>
              <w:t>Communication:</w:t>
            </w:r>
          </w:p>
          <w:p w:rsidR="00190EBA" w:rsidRPr="00E25868" w:rsidRDefault="00190EBA" w:rsidP="00695A3D">
            <w:pPr>
              <w:rPr>
                <w:color w:val="0000FF"/>
                <w:lang w:eastAsia="en-CA"/>
              </w:rPr>
            </w:pPr>
            <w:r w:rsidRPr="00B835FC">
              <w:rPr>
                <w:rFonts w:cs="Arial"/>
                <w:lang w:eastAsia="en-CA"/>
              </w:rPr>
              <w:t xml:space="preserve">The College considers </w:t>
            </w:r>
            <w:r w:rsidRPr="00B835FC">
              <w:rPr>
                <w:rFonts w:cs="Arial"/>
                <w:b/>
                <w:bCs/>
                <w:i/>
                <w:iCs/>
                <w:lang w:eastAsia="en-CA"/>
              </w:rPr>
              <w:t>WebCT/</w:t>
            </w:r>
            <w:smartTag w:uri="urn:schemas-microsoft-com:office:smarttags" w:element="stockticker">
              <w:r w:rsidRPr="00B835FC">
                <w:rPr>
                  <w:rFonts w:cs="Arial"/>
                  <w:b/>
                  <w:bCs/>
                  <w:i/>
                  <w:iCs/>
                  <w:lang w:eastAsia="en-CA"/>
                </w:rPr>
                <w:t>LMS</w:t>
              </w:r>
            </w:smartTag>
            <w:r w:rsidRPr="00B835FC">
              <w:rPr>
                <w:rFonts w:cs="Arial"/>
                <w:b/>
                <w:bCs/>
                <w:i/>
                <w:iCs/>
                <w:lang w:eastAsia="en-CA"/>
              </w:rPr>
              <w:t> </w:t>
            </w:r>
            <w:r w:rsidRPr="00B835FC">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lang w:eastAsia="en-CA"/>
              </w:rPr>
              <w:t>Learning Management System</w:t>
            </w:r>
            <w:r w:rsidRPr="00B835FC">
              <w:rPr>
                <w:rFonts w:cs="Arial"/>
                <w:lang w:eastAsia="en-CA"/>
              </w:rPr>
              <w:t xml:space="preserve"> communication tool</w:t>
            </w:r>
            <w:r w:rsidRPr="00B835FC">
              <w:rPr>
                <w:rFonts w:cs="Arial"/>
                <w:color w:val="0000FF"/>
                <w:sz w:val="20"/>
                <w:lang w:eastAsia="en-CA"/>
              </w:rPr>
              <w:t>.</w:t>
            </w:r>
          </w:p>
          <w:p w:rsidR="00190EBA" w:rsidRDefault="00190EBA" w:rsidP="00695A3D">
            <w:pPr>
              <w:rPr>
                <w:u w:val="single"/>
              </w:rPr>
            </w:pPr>
          </w:p>
        </w:tc>
      </w:tr>
      <w:tr w:rsidR="002654D6" w:rsidRPr="00723208" w:rsidTr="002654D6">
        <w:trPr>
          <w:gridAfter w:val="1"/>
          <w:wAfter w:w="18" w:type="dxa"/>
          <w:cantSplit/>
        </w:trPr>
        <w:tc>
          <w:tcPr>
            <w:tcW w:w="8838" w:type="dxa"/>
            <w:gridSpan w:val="2"/>
          </w:tcPr>
          <w:p w:rsidR="002654D6" w:rsidRPr="007E0EB5" w:rsidRDefault="002654D6" w:rsidP="002654D6">
            <w:pPr>
              <w:rPr>
                <w:rFonts w:cs="Arial"/>
                <w:u w:val="single"/>
              </w:rPr>
            </w:pPr>
            <w:r w:rsidRPr="007E0EB5">
              <w:rPr>
                <w:rFonts w:cs="Arial"/>
                <w:u w:val="single"/>
              </w:rPr>
              <w:t>Student Portal:</w:t>
            </w:r>
          </w:p>
          <w:p w:rsidR="002654D6" w:rsidRPr="007E0EB5" w:rsidRDefault="002654D6" w:rsidP="002654D6">
            <w:pPr>
              <w:rPr>
                <w:i/>
                <w:sz w:val="20"/>
              </w:rPr>
            </w:pPr>
            <w:r w:rsidRPr="007E0EB5">
              <w:rPr>
                <w:rFonts w:cs="Arial"/>
              </w:rPr>
              <w:t xml:space="preserve">The </w:t>
            </w:r>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portal allows you to view all your student information in one place. </w:t>
            </w:r>
            <w:proofErr w:type="spellStart"/>
            <w:proofErr w:type="gramStart"/>
            <w:r w:rsidRPr="007E0EB5">
              <w:rPr>
                <w:rFonts w:cs="Arial"/>
                <w:b/>
              </w:rPr>
              <w:t>mysaultcollege</w:t>
            </w:r>
            <w:proofErr w:type="spellEnd"/>
            <w:proofErr w:type="gramEnd"/>
            <w:r w:rsidRPr="007E0EB5">
              <w:rPr>
                <w:rFonts w:cs="Arial"/>
                <w:b/>
              </w:rPr>
              <w:t xml:space="preserve"> </w:t>
            </w:r>
            <w:r w:rsidRPr="007E0EB5">
              <w:rPr>
                <w:rFonts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sidRPr="007E0EB5">
                <w:rPr>
                  <w:rFonts w:cs="Arial"/>
                </w:rPr>
                <w:t>LMS</w:t>
              </w:r>
            </w:smartTag>
            <w:proofErr w:type="spellEnd"/>
            <w:r w:rsidRPr="007E0EB5">
              <w:rPr>
                <w:rFonts w:cs="Arial"/>
              </w:rPr>
              <w:t xml:space="preserve">), and much more.  Go to </w:t>
            </w:r>
            <w:hyperlink r:id="rId11" w:history="1">
              <w:r w:rsidRPr="007E0EB5">
                <w:rPr>
                  <w:rStyle w:val="Hyperlink"/>
                  <w:rFonts w:cs="Arial"/>
                </w:rPr>
                <w:t>https://my.saultcollege.ca</w:t>
              </w:r>
            </w:hyperlink>
            <w:r w:rsidRPr="007E0EB5">
              <w:rPr>
                <w:rFonts w:cs="Arial"/>
              </w:rPr>
              <w:t>.</w:t>
            </w:r>
          </w:p>
          <w:p w:rsidR="002654D6" w:rsidRPr="007E0EB5" w:rsidRDefault="002654D6" w:rsidP="002654D6">
            <w:pPr>
              <w:rPr>
                <w:rFonts w:cs="Arial"/>
                <w:b/>
                <w:i/>
                <w:iCs/>
                <w:color w:val="000000"/>
              </w:rPr>
            </w:pPr>
            <w:r w:rsidRPr="007E0EB5">
              <w:rPr>
                <w:i/>
                <w:sz w:val="20"/>
              </w:rPr>
              <w:t xml:space="preserve"> </w:t>
            </w:r>
          </w:p>
        </w:tc>
      </w:tr>
    </w:tbl>
    <w:p w:rsidR="002654D6" w:rsidRDefault="002654D6">
      <w:r>
        <w:br w:type="page"/>
      </w:r>
    </w:p>
    <w:tbl>
      <w:tblPr>
        <w:tblW w:w="0" w:type="auto"/>
        <w:tblLayout w:type="fixed"/>
        <w:tblLook w:val="0000"/>
      </w:tblPr>
      <w:tblGrid>
        <w:gridCol w:w="8838"/>
      </w:tblGrid>
      <w:tr w:rsidR="00190EBA" w:rsidTr="00695A3D">
        <w:trPr>
          <w:cantSplit/>
        </w:trPr>
        <w:tc>
          <w:tcPr>
            <w:tcW w:w="8838" w:type="dxa"/>
          </w:tcPr>
          <w:p w:rsidR="00190EBA" w:rsidRPr="007E0EB5" w:rsidRDefault="00190EBA" w:rsidP="00695A3D">
            <w:r w:rsidRPr="007E0EB5">
              <w:rPr>
                <w:u w:val="single"/>
              </w:rPr>
              <w:lastRenderedPageBreak/>
              <w:t>Plagiarism</w:t>
            </w:r>
            <w:r w:rsidRPr="007E0EB5">
              <w:t>:</w:t>
            </w:r>
          </w:p>
          <w:p w:rsidR="002654D6" w:rsidRDefault="00190EBA" w:rsidP="00695A3D">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rsidR="002654D6">
              <w:t>:</w:t>
            </w:r>
          </w:p>
          <w:p w:rsidR="002654D6" w:rsidRDefault="00190EBA" w:rsidP="002654D6">
            <w:pPr>
              <w:pStyle w:val="Default"/>
              <w:numPr>
                <w:ilvl w:val="0"/>
                <w:numId w:val="10"/>
              </w:numPr>
            </w:pPr>
            <w:r w:rsidRPr="007E0EB5">
              <w:t xml:space="preserve">issue a verbal reprimand, </w:t>
            </w:r>
          </w:p>
          <w:p w:rsidR="002654D6" w:rsidRDefault="00190EBA" w:rsidP="002654D6">
            <w:pPr>
              <w:pStyle w:val="Default"/>
              <w:numPr>
                <w:ilvl w:val="0"/>
                <w:numId w:val="10"/>
              </w:numPr>
            </w:pPr>
            <w:r w:rsidRPr="007E0EB5">
              <w:t xml:space="preserve">make an assignment of a lower grade with explanation, </w:t>
            </w:r>
          </w:p>
          <w:p w:rsidR="002654D6" w:rsidRDefault="00190EBA" w:rsidP="002654D6">
            <w:pPr>
              <w:pStyle w:val="Default"/>
              <w:numPr>
                <w:ilvl w:val="0"/>
                <w:numId w:val="10"/>
              </w:numPr>
            </w:pPr>
            <w:r w:rsidRPr="007E0EB5">
              <w:t xml:space="preserve">require additional academic assignments and issue a lower grade upon completion to the maximum grade “C”, </w:t>
            </w:r>
          </w:p>
          <w:p w:rsidR="002654D6" w:rsidRDefault="00190EBA" w:rsidP="002654D6">
            <w:pPr>
              <w:pStyle w:val="Default"/>
              <w:numPr>
                <w:ilvl w:val="0"/>
                <w:numId w:val="10"/>
              </w:numPr>
            </w:pPr>
            <w:r w:rsidRPr="007E0EB5">
              <w:t xml:space="preserve">make an automatic assignment of a failing grade, </w:t>
            </w:r>
          </w:p>
          <w:p w:rsidR="002654D6" w:rsidRDefault="00190EBA" w:rsidP="002654D6">
            <w:pPr>
              <w:pStyle w:val="Default"/>
              <w:numPr>
                <w:ilvl w:val="0"/>
                <w:numId w:val="10"/>
              </w:numPr>
            </w:pPr>
            <w:proofErr w:type="gramStart"/>
            <w:r w:rsidRPr="007E0EB5">
              <w:t>recommend</w:t>
            </w:r>
            <w:proofErr w:type="gramEnd"/>
            <w:r w:rsidRPr="007E0EB5">
              <w:t xml:space="preserve"> to the Chair dismissal from the course with the assignment of a failing grade. </w:t>
            </w:r>
          </w:p>
          <w:p w:rsidR="00190EBA" w:rsidRPr="007E0EB5" w:rsidRDefault="00190EBA" w:rsidP="002654D6">
            <w:pPr>
              <w:pStyle w:val="Default"/>
              <w:ind w:left="45"/>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190EBA" w:rsidRPr="007E0EB5" w:rsidRDefault="00190EBA" w:rsidP="00695A3D"/>
        </w:tc>
      </w:tr>
      <w:tr w:rsidR="00190EBA" w:rsidRPr="00723208" w:rsidTr="00695A3D">
        <w:trPr>
          <w:cantSplit/>
        </w:trPr>
        <w:tc>
          <w:tcPr>
            <w:tcW w:w="8838" w:type="dxa"/>
          </w:tcPr>
          <w:p w:rsidR="00190EBA" w:rsidRPr="007E0EB5" w:rsidRDefault="00190EBA" w:rsidP="00695A3D">
            <w:pPr>
              <w:rPr>
                <w:rFonts w:cs="Arial"/>
                <w:u w:val="single"/>
                <w:lang w:eastAsia="en-CA"/>
              </w:rPr>
            </w:pPr>
            <w:r w:rsidRPr="007E0EB5">
              <w:rPr>
                <w:rFonts w:cs="Arial"/>
                <w:u w:val="single"/>
                <w:lang w:eastAsia="en-CA"/>
              </w:rPr>
              <w:t>Electronic Devices in the Classroom:</w:t>
            </w:r>
          </w:p>
          <w:p w:rsidR="00190EBA" w:rsidRPr="007E0EB5" w:rsidRDefault="00190EBA" w:rsidP="00695A3D">
            <w:pPr>
              <w:rPr>
                <w:rFonts w:cs="Arial"/>
                <w:lang w:eastAsia="en-CA"/>
              </w:rPr>
            </w:pPr>
            <w:r w:rsidRPr="007E0EB5">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lang w:eastAsia="en-CA"/>
              </w:rPr>
              <w:t>Where the use of an electronic device has been approved, the student agrees that materials recorded are for his/her use only, are not for distribution, and are the sole property of the College.</w:t>
            </w:r>
            <w:r w:rsidRPr="007E0EB5">
              <w:rPr>
                <w:rFonts w:cs="Arial"/>
                <w:lang w:eastAsia="en-CA"/>
              </w:rPr>
              <w:t xml:space="preserve"> </w:t>
            </w:r>
          </w:p>
          <w:p w:rsidR="00190EBA" w:rsidRPr="007E0EB5" w:rsidRDefault="00190EBA" w:rsidP="00695A3D">
            <w:pPr>
              <w:rPr>
                <w:rFonts w:cs="Arial"/>
                <w:b/>
                <w:i/>
                <w:iCs/>
                <w:color w:val="000000"/>
              </w:rPr>
            </w:pPr>
          </w:p>
        </w:tc>
      </w:tr>
      <w:tr w:rsidR="00190EBA" w:rsidRPr="00723208" w:rsidTr="00695A3D">
        <w:trPr>
          <w:cantSplit/>
        </w:trPr>
        <w:tc>
          <w:tcPr>
            <w:tcW w:w="8838" w:type="dxa"/>
          </w:tcPr>
          <w:p w:rsidR="00190EBA" w:rsidRPr="007E0EB5" w:rsidRDefault="00190EBA" w:rsidP="00695A3D">
            <w:pPr>
              <w:rPr>
                <w:rFonts w:cs="Arial"/>
                <w:u w:val="single"/>
              </w:rPr>
            </w:pPr>
            <w:r w:rsidRPr="007E0EB5">
              <w:rPr>
                <w:rFonts w:cs="Arial"/>
                <w:u w:val="single"/>
              </w:rPr>
              <w:t>Attendance:</w:t>
            </w:r>
          </w:p>
          <w:p w:rsidR="00190EBA" w:rsidRPr="007E0EB5" w:rsidRDefault="00190EBA" w:rsidP="00190EBA">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654D6" w:rsidRDefault="002654D6" w:rsidP="00190EBA">
      <w:pPr>
        <w:rPr>
          <w:rFonts w:cs="Arial"/>
          <w:b/>
          <w:bCs/>
          <w:sz w:val="22"/>
          <w:szCs w:val="22"/>
        </w:rPr>
      </w:pPr>
    </w:p>
    <w:p w:rsidR="00190EBA" w:rsidRPr="002F1A79" w:rsidRDefault="00190EBA" w:rsidP="00190EBA">
      <w:pPr>
        <w:rPr>
          <w:rFonts w:cs="Arial"/>
          <w:b/>
          <w:bCs/>
          <w:sz w:val="22"/>
          <w:szCs w:val="22"/>
        </w:rPr>
      </w:pPr>
      <w:r w:rsidRPr="002F1A79">
        <w:rPr>
          <w:rFonts w:cs="Arial"/>
          <w:b/>
          <w:bCs/>
          <w:sz w:val="22"/>
          <w:szCs w:val="22"/>
        </w:rPr>
        <w:t>This course</w:t>
      </w:r>
      <w:r>
        <w:rPr>
          <w:rFonts w:cs="Arial"/>
          <w:b/>
          <w:bCs/>
          <w:sz w:val="22"/>
          <w:szCs w:val="22"/>
        </w:rPr>
        <w:t>’</w:t>
      </w:r>
      <w:r w:rsidRPr="002F1A79">
        <w:rPr>
          <w:rFonts w:cs="Arial"/>
          <w:b/>
          <w:bCs/>
          <w:sz w:val="22"/>
          <w:szCs w:val="22"/>
        </w:rPr>
        <w:t>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E1240C" w:rsidRDefault="00E1240C" w:rsidP="00366757"/>
    <w:sectPr w:rsidR="00E1240C" w:rsidSect="009404D1">
      <w:headerReference w:type="even" r:id="rId12"/>
      <w:headerReference w:type="default" r:id="rId13"/>
      <w:pgSz w:w="12240" w:h="15840"/>
      <w:pgMar w:top="144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D6" w:rsidRDefault="002654D6" w:rsidP="009404D1">
      <w:r>
        <w:separator/>
      </w:r>
    </w:p>
  </w:endnote>
  <w:endnote w:type="continuationSeparator" w:id="0">
    <w:p w:rsidR="002654D6" w:rsidRDefault="002654D6" w:rsidP="00940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D6" w:rsidRDefault="002654D6" w:rsidP="009404D1">
      <w:r>
        <w:separator/>
      </w:r>
    </w:p>
  </w:footnote>
  <w:footnote w:type="continuationSeparator" w:id="0">
    <w:p w:rsidR="002654D6" w:rsidRDefault="002654D6" w:rsidP="00940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6" w:rsidRDefault="000F2460">
    <w:pPr>
      <w:pStyle w:val="Header"/>
      <w:framePr w:wrap="around" w:vAnchor="text" w:hAnchor="margin" w:xAlign="center" w:y="1"/>
      <w:rPr>
        <w:rStyle w:val="PageNumber"/>
      </w:rPr>
    </w:pPr>
    <w:r>
      <w:rPr>
        <w:rStyle w:val="PageNumber"/>
      </w:rPr>
      <w:fldChar w:fldCharType="begin"/>
    </w:r>
    <w:r w:rsidR="002654D6">
      <w:rPr>
        <w:rStyle w:val="PageNumber"/>
      </w:rPr>
      <w:instrText xml:space="preserve">PAGE  </w:instrText>
    </w:r>
    <w:r>
      <w:rPr>
        <w:rStyle w:val="PageNumber"/>
      </w:rPr>
      <w:fldChar w:fldCharType="separate"/>
    </w:r>
    <w:r w:rsidR="002654D6">
      <w:rPr>
        <w:rStyle w:val="PageNumber"/>
        <w:noProof/>
      </w:rPr>
      <w:t>9</w:t>
    </w:r>
    <w:r>
      <w:rPr>
        <w:rStyle w:val="PageNumber"/>
      </w:rPr>
      <w:fldChar w:fldCharType="end"/>
    </w:r>
  </w:p>
  <w:p w:rsidR="002654D6" w:rsidRDefault="00265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6" w:rsidRDefault="000F2460">
    <w:pPr>
      <w:pStyle w:val="Header"/>
      <w:framePr w:wrap="around" w:vAnchor="text" w:hAnchor="margin" w:xAlign="center" w:y="1"/>
      <w:rPr>
        <w:rStyle w:val="PageNumber"/>
      </w:rPr>
    </w:pPr>
    <w:r>
      <w:rPr>
        <w:rStyle w:val="PageNumber"/>
      </w:rPr>
      <w:fldChar w:fldCharType="begin"/>
    </w:r>
    <w:r w:rsidR="002654D6">
      <w:rPr>
        <w:rStyle w:val="PageNumber"/>
      </w:rPr>
      <w:instrText xml:space="preserve">PAGE  </w:instrText>
    </w:r>
    <w:r>
      <w:rPr>
        <w:rStyle w:val="PageNumber"/>
      </w:rPr>
      <w:fldChar w:fldCharType="separate"/>
    </w:r>
    <w:r w:rsidR="007F09E5">
      <w:rPr>
        <w:rStyle w:val="PageNumber"/>
        <w:noProof/>
      </w:rPr>
      <w:t>7</w:t>
    </w:r>
    <w:r>
      <w:rPr>
        <w:rStyle w:val="PageNumber"/>
      </w:rPr>
      <w:fldChar w:fldCharType="end"/>
    </w:r>
  </w:p>
  <w:tbl>
    <w:tblPr>
      <w:tblW w:w="0" w:type="auto"/>
      <w:tblLayout w:type="fixed"/>
      <w:tblLook w:val="0000"/>
    </w:tblPr>
    <w:tblGrid>
      <w:gridCol w:w="3708"/>
      <w:gridCol w:w="1220"/>
      <w:gridCol w:w="3928"/>
    </w:tblGrid>
    <w:tr w:rsidR="002654D6">
      <w:tc>
        <w:tcPr>
          <w:tcW w:w="3708" w:type="dxa"/>
        </w:tcPr>
        <w:p w:rsidR="002654D6" w:rsidRDefault="002654D6">
          <w:pPr>
            <w:rPr>
              <w:snapToGrid w:val="0"/>
            </w:rPr>
          </w:pPr>
          <w:r>
            <w:rPr>
              <w:b/>
              <w:bCs/>
              <w:snapToGrid w:val="0"/>
            </w:rPr>
            <w:t>Professional Growth III</w:t>
          </w:r>
        </w:p>
      </w:tc>
      <w:tc>
        <w:tcPr>
          <w:tcW w:w="1220" w:type="dxa"/>
        </w:tcPr>
        <w:p w:rsidR="002654D6" w:rsidRDefault="002654D6">
          <w:pPr>
            <w:pStyle w:val="Header"/>
            <w:jc w:val="center"/>
            <w:rPr>
              <w:rFonts w:ascii="Arial" w:hAnsi="Arial"/>
              <w:snapToGrid w:val="0"/>
            </w:rPr>
          </w:pPr>
        </w:p>
      </w:tc>
      <w:tc>
        <w:tcPr>
          <w:tcW w:w="3928" w:type="dxa"/>
        </w:tcPr>
        <w:p w:rsidR="002654D6" w:rsidRDefault="002654D6">
          <w:pPr>
            <w:pStyle w:val="Header"/>
            <w:jc w:val="right"/>
            <w:rPr>
              <w:rFonts w:ascii="Arial" w:hAnsi="Arial"/>
              <w:b/>
              <w:bCs/>
              <w:snapToGrid w:val="0"/>
            </w:rPr>
          </w:pPr>
          <w:r>
            <w:rPr>
              <w:rFonts w:ascii="Arial" w:hAnsi="Arial"/>
              <w:b/>
              <w:bCs/>
              <w:snapToGrid w:val="0"/>
            </w:rPr>
            <w:t>NURS3056</w:t>
          </w:r>
        </w:p>
      </w:tc>
    </w:tr>
  </w:tbl>
  <w:p w:rsidR="002654D6" w:rsidRDefault="002654D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BB3"/>
    <w:multiLevelType w:val="hybridMultilevel"/>
    <w:tmpl w:val="40A0C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8827C9"/>
    <w:multiLevelType w:val="hybridMultilevel"/>
    <w:tmpl w:val="22D22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9C4323"/>
    <w:multiLevelType w:val="hybridMultilevel"/>
    <w:tmpl w:val="A0CAD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AC2090"/>
    <w:multiLevelType w:val="hybridMultilevel"/>
    <w:tmpl w:val="E41A68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0696928"/>
    <w:multiLevelType w:val="hybridMultilevel"/>
    <w:tmpl w:val="AD74C802"/>
    <w:lvl w:ilvl="0" w:tplc="E5489C0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6">
    <w:nsid w:val="333074F6"/>
    <w:multiLevelType w:val="hybridMultilevel"/>
    <w:tmpl w:val="C7708B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0BC38EB"/>
    <w:multiLevelType w:val="hybridMultilevel"/>
    <w:tmpl w:val="830E54DC"/>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8">
    <w:nsid w:val="4BA4126F"/>
    <w:multiLevelType w:val="hybridMultilevel"/>
    <w:tmpl w:val="DFC41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1CD1151"/>
    <w:multiLevelType w:val="hybridMultilevel"/>
    <w:tmpl w:val="200A8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6"/>
  </w:num>
  <w:num w:numId="6">
    <w:abstractNumId w:val="7"/>
  </w:num>
  <w:num w:numId="7">
    <w:abstractNumId w:val="0"/>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4BB"/>
    <w:rsid w:val="00001268"/>
    <w:rsid w:val="000466D1"/>
    <w:rsid w:val="000F2460"/>
    <w:rsid w:val="00102170"/>
    <w:rsid w:val="00151A3D"/>
    <w:rsid w:val="00190EBA"/>
    <w:rsid w:val="002654D6"/>
    <w:rsid w:val="00366757"/>
    <w:rsid w:val="003854D4"/>
    <w:rsid w:val="003B562D"/>
    <w:rsid w:val="003B66F2"/>
    <w:rsid w:val="003C2F90"/>
    <w:rsid w:val="003F27AE"/>
    <w:rsid w:val="0044581B"/>
    <w:rsid w:val="004967F8"/>
    <w:rsid w:val="005E1715"/>
    <w:rsid w:val="005F60E2"/>
    <w:rsid w:val="00686058"/>
    <w:rsid w:val="00695A3D"/>
    <w:rsid w:val="006D4162"/>
    <w:rsid w:val="00711FA8"/>
    <w:rsid w:val="0076723E"/>
    <w:rsid w:val="007E6C8E"/>
    <w:rsid w:val="007F09E5"/>
    <w:rsid w:val="00844990"/>
    <w:rsid w:val="008D5271"/>
    <w:rsid w:val="00912E2C"/>
    <w:rsid w:val="009404D1"/>
    <w:rsid w:val="00956EFA"/>
    <w:rsid w:val="00A61BF0"/>
    <w:rsid w:val="00A65AFC"/>
    <w:rsid w:val="00B027BF"/>
    <w:rsid w:val="00B55276"/>
    <w:rsid w:val="00C90C0A"/>
    <w:rsid w:val="00D0390E"/>
    <w:rsid w:val="00D5283C"/>
    <w:rsid w:val="00E1240C"/>
    <w:rsid w:val="00E65708"/>
    <w:rsid w:val="00EC63F0"/>
    <w:rsid w:val="00F40139"/>
    <w:rsid w:val="00F54BAB"/>
    <w:rsid w:val="00F936AB"/>
    <w:rsid w:val="00F97497"/>
    <w:rsid w:val="00F974B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contacts" w:name="Give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BB"/>
    <w:rPr>
      <w:rFonts w:ascii="Arial" w:eastAsia="Times New Roman" w:hAnsi="Arial" w:cs="Times New Roman"/>
      <w:szCs w:val="24"/>
    </w:rPr>
  </w:style>
  <w:style w:type="paragraph" w:styleId="Heading1">
    <w:name w:val="heading 1"/>
    <w:basedOn w:val="Normal"/>
    <w:next w:val="Normal"/>
    <w:link w:val="Heading1Char"/>
    <w:qFormat/>
    <w:rsid w:val="00F974BB"/>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F974BB"/>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F974BB"/>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F974B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4B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F974BB"/>
    <w:rPr>
      <w:rFonts w:ascii="Arial" w:eastAsia="Times New Roman" w:hAnsi="Arial" w:cs="Times New Roman"/>
      <w:szCs w:val="20"/>
      <w:u w:val="single"/>
      <w:lang w:val="en-US"/>
    </w:rPr>
  </w:style>
  <w:style w:type="paragraph" w:styleId="EnvelopeReturn">
    <w:name w:val="envelope return"/>
    <w:basedOn w:val="Normal"/>
    <w:rsid w:val="00F974BB"/>
    <w:rPr>
      <w:szCs w:val="20"/>
      <w:lang w:val="en-US"/>
    </w:rPr>
  </w:style>
  <w:style w:type="paragraph" w:styleId="BodyText">
    <w:name w:val="Body Text"/>
    <w:basedOn w:val="Normal"/>
    <w:link w:val="BodyTextChar"/>
    <w:rsid w:val="00F974BB"/>
    <w:pPr>
      <w:jc w:val="center"/>
    </w:pPr>
    <w:rPr>
      <w:rFonts w:cs="Arial"/>
      <w:sz w:val="22"/>
      <w:szCs w:val="20"/>
    </w:rPr>
  </w:style>
  <w:style w:type="character" w:customStyle="1" w:styleId="BodyTextChar">
    <w:name w:val="Body Text Char"/>
    <w:basedOn w:val="DefaultParagraphFont"/>
    <w:link w:val="BodyText"/>
    <w:rsid w:val="00F974BB"/>
    <w:rPr>
      <w:rFonts w:ascii="Arial" w:eastAsia="Times New Roman" w:hAnsi="Arial" w:cs="Arial"/>
      <w:sz w:val="22"/>
      <w:szCs w:val="20"/>
    </w:rPr>
  </w:style>
  <w:style w:type="paragraph" w:styleId="BodyText2">
    <w:name w:val="Body Text 2"/>
    <w:basedOn w:val="Normal"/>
    <w:link w:val="BodyText2Char"/>
    <w:rsid w:val="00F974BB"/>
    <w:rPr>
      <w:rFonts w:cs="Arial"/>
      <w:sz w:val="22"/>
      <w:szCs w:val="20"/>
      <w:lang w:val="en-US"/>
    </w:rPr>
  </w:style>
  <w:style w:type="character" w:customStyle="1" w:styleId="BodyText2Char">
    <w:name w:val="Body Text 2 Char"/>
    <w:basedOn w:val="DefaultParagraphFont"/>
    <w:link w:val="BodyText2"/>
    <w:rsid w:val="00F974BB"/>
    <w:rPr>
      <w:rFonts w:ascii="Arial" w:eastAsia="Times New Roman" w:hAnsi="Arial" w:cs="Arial"/>
      <w:sz w:val="22"/>
      <w:szCs w:val="20"/>
      <w:lang w:val="en-US"/>
    </w:rPr>
  </w:style>
  <w:style w:type="character" w:styleId="PageNumber">
    <w:name w:val="page number"/>
    <w:basedOn w:val="DefaultParagraphFont"/>
    <w:rsid w:val="00F974BB"/>
  </w:style>
  <w:style w:type="paragraph" w:styleId="Header">
    <w:name w:val="header"/>
    <w:basedOn w:val="Normal"/>
    <w:link w:val="HeaderChar"/>
    <w:rsid w:val="00F974BB"/>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F974BB"/>
    <w:rPr>
      <w:rFonts w:ascii="Times New Roman" w:eastAsia="Times New Roman" w:hAnsi="Times New Roman" w:cs="Times New Roman"/>
      <w:szCs w:val="20"/>
      <w:lang w:val="en-US"/>
    </w:rPr>
  </w:style>
  <w:style w:type="character" w:styleId="Hyperlink">
    <w:name w:val="Hyperlink"/>
    <w:basedOn w:val="DefaultParagraphFont"/>
    <w:rsid w:val="00F974BB"/>
    <w:rPr>
      <w:color w:val="0000FF"/>
      <w:u w:val="single"/>
    </w:rPr>
  </w:style>
  <w:style w:type="paragraph" w:customStyle="1" w:styleId="Default">
    <w:name w:val="Default"/>
    <w:rsid w:val="00F974BB"/>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F974BB"/>
    <w:rPr>
      <w:rFonts w:ascii="Tahoma" w:hAnsi="Tahoma" w:cs="Tahoma"/>
      <w:sz w:val="16"/>
      <w:szCs w:val="16"/>
    </w:rPr>
  </w:style>
  <w:style w:type="character" w:customStyle="1" w:styleId="BalloonTextChar">
    <w:name w:val="Balloon Text Char"/>
    <w:basedOn w:val="DefaultParagraphFont"/>
    <w:link w:val="BalloonText"/>
    <w:uiPriority w:val="99"/>
    <w:semiHidden/>
    <w:rsid w:val="00F974BB"/>
    <w:rPr>
      <w:rFonts w:ascii="Tahoma" w:eastAsia="Times New Roman" w:hAnsi="Tahoma" w:cs="Tahoma"/>
      <w:sz w:val="16"/>
      <w:szCs w:val="16"/>
    </w:rPr>
  </w:style>
  <w:style w:type="paragraph" w:styleId="ListParagraph">
    <w:name w:val="List Paragraph"/>
    <w:basedOn w:val="Normal"/>
    <w:uiPriority w:val="34"/>
    <w:qFormat/>
    <w:rsid w:val="006D4162"/>
    <w:pPr>
      <w:ind w:left="720"/>
      <w:contextualSpacing/>
    </w:pPr>
  </w:style>
  <w:style w:type="paragraph" w:styleId="Footer">
    <w:name w:val="footer"/>
    <w:basedOn w:val="Normal"/>
    <w:link w:val="FooterChar"/>
    <w:uiPriority w:val="99"/>
    <w:semiHidden/>
    <w:unhideWhenUsed/>
    <w:rsid w:val="003C2F90"/>
    <w:pPr>
      <w:tabs>
        <w:tab w:val="center" w:pos="4680"/>
        <w:tab w:val="right" w:pos="9360"/>
      </w:tabs>
    </w:pPr>
  </w:style>
  <w:style w:type="character" w:customStyle="1" w:styleId="FooterChar">
    <w:name w:val="Footer Char"/>
    <w:basedOn w:val="DefaultParagraphFont"/>
    <w:link w:val="Footer"/>
    <w:uiPriority w:val="99"/>
    <w:semiHidden/>
    <w:rsid w:val="003C2F90"/>
    <w:rPr>
      <w:rFonts w:ascii="Arial" w:eastAsia="Times New Roman" w:hAnsi="Arial" w:cs="Times New Roman"/>
      <w:szCs w:val="24"/>
    </w:rPr>
  </w:style>
  <w:style w:type="paragraph" w:styleId="PlainText">
    <w:name w:val="Plain Text"/>
    <w:basedOn w:val="Normal"/>
    <w:link w:val="PlainTextChar"/>
    <w:uiPriority w:val="99"/>
    <w:semiHidden/>
    <w:unhideWhenUsed/>
    <w:rsid w:val="002654D6"/>
    <w:rPr>
      <w:rFonts w:ascii="Consolas" w:hAnsi="Consolas"/>
      <w:sz w:val="21"/>
      <w:szCs w:val="21"/>
    </w:rPr>
  </w:style>
  <w:style w:type="character" w:customStyle="1" w:styleId="PlainTextChar">
    <w:name w:val="Plain Text Char"/>
    <w:basedOn w:val="DefaultParagraphFont"/>
    <w:link w:val="PlainText"/>
    <w:uiPriority w:val="99"/>
    <w:semiHidden/>
    <w:rsid w:val="002654D6"/>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aultcollege.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nao.org/Page.asp?PageID=924&amp;ContentID=822" TargetMode="External"/><Relationship Id="rId4" Type="http://schemas.openxmlformats.org/officeDocument/2006/relationships/webSettings" Target="webSettings.xml"/><Relationship Id="rId9" Type="http://schemas.openxmlformats.org/officeDocument/2006/relationships/hyperlink" Target="http://www.rnao.org/bestpractices/PDF/BPG_CCCa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B1B8F-9630-4B1E-9860-5B0FE9F7EC2F}"/>
</file>

<file path=customXml/itemProps2.xml><?xml version="1.0" encoding="utf-8"?>
<ds:datastoreItem xmlns:ds="http://schemas.openxmlformats.org/officeDocument/2006/customXml" ds:itemID="{0877EBCC-E535-40F8-8861-DFE70AB53B3A}"/>
</file>

<file path=customXml/itemProps3.xml><?xml version="1.0" encoding="utf-8"?>
<ds:datastoreItem xmlns:ds="http://schemas.openxmlformats.org/officeDocument/2006/customXml" ds:itemID="{160B0C3F-5172-43DC-B436-5F20173B0528}"/>
</file>

<file path=docProps/app.xml><?xml version="1.0" encoding="utf-8"?>
<Properties xmlns="http://schemas.openxmlformats.org/officeDocument/2006/extended-properties" xmlns:vt="http://schemas.openxmlformats.org/officeDocument/2006/docPropsVTypes">
  <Template>Normal.dotm</Template>
  <TotalTime>26</TotalTime>
  <Pages>7</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wfostey</dc:creator>
  <cp:keywords/>
  <dc:description/>
  <cp:lastModifiedBy>gguidocci</cp:lastModifiedBy>
  <cp:revision>5</cp:revision>
  <cp:lastPrinted>2009-08-06T17:38:00Z</cp:lastPrinted>
  <dcterms:created xsi:type="dcterms:W3CDTF">2009-07-23T19:49:00Z</dcterms:created>
  <dcterms:modified xsi:type="dcterms:W3CDTF">2009-08-06T17:38:00Z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4891600</vt:r8>
  </property>
</Properties>
</file>